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0C" w:rsidRDefault="00686D33" w:rsidP="001B2A3A">
      <w:pPr>
        <w:spacing w:after="120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</w:t>
      </w:r>
      <w:r w:rsidR="00C10F6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266315" cy="645795"/>
            <wp:effectExtent l="0" t="0" r="635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0C6A0C" w:rsidRDefault="000C6A0C" w:rsidP="00B5453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EC7629" w:rsidRDefault="00EC7629" w:rsidP="00B5453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EC7629" w:rsidRPr="009A7AE5" w:rsidRDefault="00EC7629" w:rsidP="00B5453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FC6EB4" w:rsidRPr="009A7AE5" w:rsidRDefault="001B2A3A" w:rsidP="00FC6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ГОДОВОЙ ОТЧЁТ</w:t>
      </w:r>
    </w:p>
    <w:p w:rsidR="00FC6EB4" w:rsidRPr="009A7AE5" w:rsidRDefault="00FC6EB4" w:rsidP="00FC6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A7AE5">
        <w:rPr>
          <w:rFonts w:ascii="Times New Roman" w:hAnsi="Times New Roman"/>
          <w:b/>
          <w:sz w:val="36"/>
          <w:szCs w:val="36"/>
        </w:rPr>
        <w:t xml:space="preserve">о деятельности </w:t>
      </w:r>
    </w:p>
    <w:p w:rsidR="006B56BB" w:rsidRPr="009A7AE5" w:rsidRDefault="00AA7C80" w:rsidP="00FC6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A7AE5">
        <w:rPr>
          <w:rFonts w:ascii="Times New Roman" w:hAnsi="Times New Roman"/>
          <w:b/>
          <w:sz w:val="36"/>
          <w:szCs w:val="36"/>
        </w:rPr>
        <w:t>Гарантийного фонда</w:t>
      </w:r>
      <w:r w:rsidR="001B2A3A">
        <w:rPr>
          <w:rFonts w:ascii="Times New Roman" w:hAnsi="Times New Roman"/>
          <w:b/>
          <w:sz w:val="36"/>
          <w:szCs w:val="36"/>
        </w:rPr>
        <w:t xml:space="preserve"> </w:t>
      </w:r>
      <w:r w:rsidR="00FC6EB4" w:rsidRPr="009A7AE5">
        <w:rPr>
          <w:rFonts w:ascii="Times New Roman" w:hAnsi="Times New Roman"/>
          <w:b/>
          <w:sz w:val="36"/>
          <w:szCs w:val="36"/>
        </w:rPr>
        <w:t>Хабаровского края</w:t>
      </w:r>
    </w:p>
    <w:p w:rsidR="00FC6EB4" w:rsidRPr="009A7AE5" w:rsidRDefault="009C36EF" w:rsidP="00FC6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A7AE5">
        <w:rPr>
          <w:rFonts w:ascii="Times New Roman" w:hAnsi="Times New Roman"/>
          <w:b/>
          <w:sz w:val="36"/>
          <w:szCs w:val="36"/>
        </w:rPr>
        <w:t>за 201</w:t>
      </w:r>
      <w:r w:rsidR="00505AA1">
        <w:rPr>
          <w:rFonts w:ascii="Times New Roman" w:hAnsi="Times New Roman"/>
          <w:b/>
          <w:sz w:val="36"/>
          <w:szCs w:val="36"/>
        </w:rPr>
        <w:t>7</w:t>
      </w:r>
      <w:r w:rsidR="0051554F">
        <w:rPr>
          <w:rFonts w:ascii="Times New Roman" w:hAnsi="Times New Roman"/>
          <w:b/>
          <w:sz w:val="36"/>
          <w:szCs w:val="36"/>
        </w:rPr>
        <w:t xml:space="preserve"> </w:t>
      </w:r>
      <w:r w:rsidR="00FC6EB4" w:rsidRPr="009A7AE5">
        <w:rPr>
          <w:rFonts w:ascii="Times New Roman" w:hAnsi="Times New Roman"/>
          <w:b/>
          <w:sz w:val="36"/>
          <w:szCs w:val="36"/>
        </w:rPr>
        <w:t>год</w:t>
      </w: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FC6EB4" w:rsidRDefault="00FC6EB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FC6EB4" w:rsidRDefault="00FC6EB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C029DE" w:rsidRDefault="00C029DE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C029DE" w:rsidRDefault="00C029DE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C029DE" w:rsidRDefault="00C029DE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FC6EB4" w:rsidRDefault="00FC6EB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BD2414" w:rsidRDefault="006B56BB" w:rsidP="00BD241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Хабаровск</w:t>
      </w:r>
    </w:p>
    <w:p w:rsidR="006B56BB" w:rsidRDefault="00F55395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</w:t>
      </w:r>
      <w:r w:rsidR="00505AA1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г.</w:t>
      </w:r>
    </w:p>
    <w:p w:rsidR="00A571DF" w:rsidRDefault="00AA7C80" w:rsidP="004045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5254">
        <w:rPr>
          <w:rFonts w:ascii="Times New Roman" w:hAnsi="Times New Roman"/>
          <w:b/>
          <w:sz w:val="26"/>
          <w:szCs w:val="26"/>
        </w:rPr>
        <w:br w:type="page"/>
      </w:r>
    </w:p>
    <w:p w:rsidR="00C23434" w:rsidRDefault="00C23434" w:rsidP="004045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6166">
        <w:rPr>
          <w:rFonts w:ascii="Times New Roman" w:hAnsi="Times New Roman"/>
          <w:b/>
          <w:sz w:val="26"/>
          <w:szCs w:val="26"/>
        </w:rPr>
        <w:lastRenderedPageBreak/>
        <w:t>СОДЕРЖАНИЕ:</w:t>
      </w:r>
    </w:p>
    <w:p w:rsidR="001C38F5" w:rsidRPr="00AE4039" w:rsidRDefault="001C38F5" w:rsidP="004045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7"/>
        <w:gridCol w:w="7675"/>
        <w:gridCol w:w="948"/>
      </w:tblGrid>
      <w:tr w:rsidR="00D55254" w:rsidRPr="00AE4039" w:rsidTr="008B36FD"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96" w:type="dxa"/>
          </w:tcPr>
          <w:p w:rsidR="00D55254" w:rsidRPr="001D19CB" w:rsidRDefault="001D19CB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Общие сведения</w:t>
            </w:r>
          </w:p>
        </w:tc>
        <w:tc>
          <w:tcPr>
            <w:tcW w:w="958" w:type="dxa"/>
            <w:shd w:val="clear" w:color="auto" w:fill="auto"/>
          </w:tcPr>
          <w:p w:rsidR="00D55254" w:rsidRPr="000D7D60" w:rsidRDefault="00D5525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86D3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55254" w:rsidRPr="00AE4039" w:rsidTr="008B36FD">
        <w:tc>
          <w:tcPr>
            <w:tcW w:w="959" w:type="dxa"/>
          </w:tcPr>
          <w:p w:rsidR="00D55254" w:rsidRPr="00AE4039" w:rsidRDefault="00D5525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55254" w:rsidRPr="00AE4039" w:rsidRDefault="00D5525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55254" w:rsidRPr="000D7D60" w:rsidRDefault="00D5525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55254" w:rsidRPr="00AE4039" w:rsidTr="008B36FD">
        <w:trPr>
          <w:trHeight w:val="629"/>
        </w:trPr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96" w:type="dxa"/>
          </w:tcPr>
          <w:p w:rsidR="00D55254" w:rsidRDefault="00D5525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039">
              <w:rPr>
                <w:rFonts w:ascii="Times New Roman" w:hAnsi="Times New Roman"/>
                <w:sz w:val="26"/>
                <w:szCs w:val="26"/>
              </w:rPr>
              <w:t xml:space="preserve">Условия, порядок формирования и использования гарантийного капитала     </w:t>
            </w:r>
          </w:p>
          <w:p w:rsidR="00944DD2" w:rsidRPr="00AE4039" w:rsidRDefault="00944DD2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55254" w:rsidRPr="00686D33" w:rsidRDefault="00D5525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3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55254" w:rsidRPr="00AE4039" w:rsidTr="008B36FD"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96" w:type="dxa"/>
          </w:tcPr>
          <w:p w:rsidR="00D55254" w:rsidRDefault="00D5525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039">
              <w:rPr>
                <w:rFonts w:ascii="Times New Roman" w:hAnsi="Times New Roman"/>
                <w:sz w:val="26"/>
                <w:szCs w:val="26"/>
              </w:rPr>
              <w:t xml:space="preserve">Порядок организации сотрудничества с кредитными организациями            </w:t>
            </w:r>
          </w:p>
          <w:p w:rsidR="00944DD2" w:rsidRPr="00AE4039" w:rsidRDefault="00944DD2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55254" w:rsidRPr="00686D33" w:rsidRDefault="00427FDA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55254" w:rsidRPr="00AE4039" w:rsidTr="008B36FD"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796" w:type="dxa"/>
          </w:tcPr>
          <w:p w:rsidR="00D55254" w:rsidRPr="00AE4039" w:rsidRDefault="00D5525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039">
              <w:rPr>
                <w:rFonts w:ascii="Times New Roman" w:hAnsi="Times New Roman"/>
                <w:sz w:val="26"/>
                <w:szCs w:val="26"/>
              </w:rPr>
              <w:t>Портфель предоставленных поручительств</w:t>
            </w:r>
          </w:p>
        </w:tc>
        <w:tc>
          <w:tcPr>
            <w:tcW w:w="958" w:type="dxa"/>
          </w:tcPr>
          <w:p w:rsidR="00D55254" w:rsidRPr="00686D33" w:rsidRDefault="00427FDA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944DD2" w:rsidRPr="00686D33" w:rsidRDefault="00944DD2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254" w:rsidRPr="00AE4039" w:rsidTr="008B36FD"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96" w:type="dxa"/>
          </w:tcPr>
          <w:p w:rsidR="000F4264" w:rsidRDefault="000F426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4264">
              <w:rPr>
                <w:rFonts w:ascii="Times New Roman" w:hAnsi="Times New Roman"/>
                <w:sz w:val="26"/>
                <w:szCs w:val="26"/>
              </w:rPr>
              <w:t xml:space="preserve"> Исполнение обязательств Фонда.</w:t>
            </w:r>
          </w:p>
          <w:p w:rsidR="00D55254" w:rsidRPr="00AE4039" w:rsidRDefault="00D55254" w:rsidP="000F4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55254" w:rsidRPr="00686D33" w:rsidRDefault="00FE6D92" w:rsidP="00427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27FD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B36FD" w:rsidRPr="00AE4039" w:rsidTr="008B36FD">
        <w:tc>
          <w:tcPr>
            <w:tcW w:w="959" w:type="dxa"/>
          </w:tcPr>
          <w:p w:rsidR="008B36FD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796" w:type="dxa"/>
          </w:tcPr>
          <w:p w:rsidR="008B36FD" w:rsidRPr="00AE4039" w:rsidRDefault="000F4264" w:rsidP="00A62C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039">
              <w:rPr>
                <w:rFonts w:ascii="Times New Roman" w:hAnsi="Times New Roman"/>
                <w:sz w:val="26"/>
                <w:szCs w:val="26"/>
              </w:rPr>
              <w:t>Сведения о финансовых результатах</w:t>
            </w:r>
          </w:p>
        </w:tc>
        <w:tc>
          <w:tcPr>
            <w:tcW w:w="958" w:type="dxa"/>
          </w:tcPr>
          <w:p w:rsidR="008B36FD" w:rsidRPr="00686D33" w:rsidRDefault="000F4264" w:rsidP="00427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27FD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C23434" w:rsidRPr="00AE4039" w:rsidRDefault="00C23434" w:rsidP="00404500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4500" w:rsidRPr="00AE4039" w:rsidRDefault="00404500" w:rsidP="00404500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4BE" w:rsidRPr="00A06B25" w:rsidRDefault="000C6A0C" w:rsidP="00A06B25">
      <w:pPr>
        <w:pStyle w:val="a3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b/>
          <w:sz w:val="28"/>
          <w:szCs w:val="28"/>
        </w:rPr>
      </w:pPr>
      <w:r w:rsidRPr="00AE4039">
        <w:rPr>
          <w:rFonts w:ascii="Times New Roman" w:hAnsi="Times New Roman"/>
          <w:b/>
          <w:sz w:val="26"/>
          <w:szCs w:val="26"/>
        </w:rPr>
        <w:br w:type="page"/>
      </w:r>
      <w:r w:rsidR="00BB2303" w:rsidRPr="00A06B25">
        <w:rPr>
          <w:rFonts w:ascii="Times New Roman" w:hAnsi="Times New Roman"/>
          <w:b/>
          <w:sz w:val="28"/>
          <w:szCs w:val="28"/>
        </w:rPr>
        <w:lastRenderedPageBreak/>
        <w:t xml:space="preserve"> Общие сведения.</w:t>
      </w:r>
    </w:p>
    <w:p w:rsidR="00A06B25" w:rsidRPr="00A06B25" w:rsidRDefault="00A06B25" w:rsidP="00A06B25">
      <w:pPr>
        <w:pStyle w:val="a3"/>
        <w:spacing w:after="0" w:line="240" w:lineRule="auto"/>
        <w:ind w:left="0" w:firstLine="737"/>
        <w:jc w:val="both"/>
        <w:rPr>
          <w:rFonts w:ascii="Times New Roman" w:hAnsi="Times New Roman"/>
          <w:b/>
          <w:sz w:val="28"/>
          <w:szCs w:val="28"/>
        </w:rPr>
      </w:pPr>
    </w:p>
    <w:p w:rsidR="008D2016" w:rsidRPr="00A06B25" w:rsidRDefault="000C6A0C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Гарантийный фонд</w:t>
      </w:r>
      <w:r w:rsidR="00622D72" w:rsidRPr="00A06B25">
        <w:rPr>
          <w:rFonts w:ascii="Times New Roman" w:hAnsi="Times New Roman"/>
          <w:sz w:val="28"/>
          <w:szCs w:val="28"/>
        </w:rPr>
        <w:t xml:space="preserve"> Хабаровского края</w:t>
      </w:r>
      <w:r w:rsidR="004033A5" w:rsidRPr="00A06B25">
        <w:rPr>
          <w:rFonts w:ascii="Times New Roman" w:hAnsi="Times New Roman"/>
          <w:sz w:val="28"/>
          <w:szCs w:val="28"/>
        </w:rPr>
        <w:t xml:space="preserve"> (далее – Фонд, Гарантийный фонд)</w:t>
      </w:r>
      <w:r w:rsidR="00622D72" w:rsidRPr="00A06B25">
        <w:rPr>
          <w:rFonts w:ascii="Times New Roman" w:hAnsi="Times New Roman"/>
          <w:sz w:val="28"/>
          <w:szCs w:val="28"/>
        </w:rPr>
        <w:t xml:space="preserve"> </w:t>
      </w:r>
      <w:r w:rsidR="008D2016" w:rsidRPr="00A06B25">
        <w:rPr>
          <w:rFonts w:ascii="Times New Roman" w:hAnsi="Times New Roman"/>
          <w:sz w:val="28"/>
          <w:szCs w:val="28"/>
        </w:rPr>
        <w:t>является не имеющей членства некоммерческой организацией, учрежденной в форме фонда распоряжением Правительства Хабаровского края от 22 ноября 2011 г. № 706-рп «Об учреждении некоммерческой организации «Гарантийный фонд Хабаровского края», деятельность которой направлена на развитие и поддержку малого и среднего предпринимательства в Хабаровском крае.</w:t>
      </w:r>
    </w:p>
    <w:p w:rsidR="008D2016" w:rsidRPr="00A06B25" w:rsidRDefault="008D2016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 xml:space="preserve">Учредителем Фонда является Хабаровский край в лице министерства экономического развития Хабаровского края. </w:t>
      </w:r>
    </w:p>
    <w:p w:rsidR="00DE37AE" w:rsidRPr="00A06B25" w:rsidRDefault="008D2016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 xml:space="preserve">Фонд </w:t>
      </w:r>
      <w:r w:rsidR="00622D72" w:rsidRPr="00A06B25">
        <w:rPr>
          <w:rFonts w:ascii="Times New Roman" w:hAnsi="Times New Roman"/>
          <w:sz w:val="28"/>
          <w:szCs w:val="28"/>
        </w:rPr>
        <w:t xml:space="preserve">является </w:t>
      </w:r>
      <w:r w:rsidR="00EA3CA7" w:rsidRPr="00A06B25">
        <w:rPr>
          <w:rFonts w:ascii="Times New Roman" w:hAnsi="Times New Roman"/>
          <w:sz w:val="28"/>
          <w:szCs w:val="28"/>
        </w:rPr>
        <w:t>со</w:t>
      </w:r>
      <w:r w:rsidR="00622D72" w:rsidRPr="00A06B25">
        <w:rPr>
          <w:rFonts w:ascii="Times New Roman" w:hAnsi="Times New Roman"/>
          <w:sz w:val="28"/>
          <w:szCs w:val="28"/>
        </w:rPr>
        <w:t>исполнителе</w:t>
      </w:r>
      <w:r w:rsidR="00EA3CA7" w:rsidRPr="00A06B25">
        <w:rPr>
          <w:rFonts w:ascii="Times New Roman" w:hAnsi="Times New Roman"/>
          <w:sz w:val="28"/>
          <w:szCs w:val="28"/>
        </w:rPr>
        <w:t>м</w:t>
      </w:r>
      <w:r w:rsidR="00622D72" w:rsidRPr="00A06B25">
        <w:rPr>
          <w:rFonts w:ascii="Times New Roman" w:hAnsi="Times New Roman"/>
          <w:sz w:val="28"/>
          <w:szCs w:val="28"/>
        </w:rPr>
        <w:t xml:space="preserve"> </w:t>
      </w:r>
      <w:r w:rsidR="00BB605E" w:rsidRPr="00A06B25">
        <w:rPr>
          <w:rFonts w:ascii="Times New Roman" w:hAnsi="Times New Roman"/>
          <w:sz w:val="28"/>
          <w:szCs w:val="28"/>
        </w:rPr>
        <w:t>государственной целевой про</w:t>
      </w:r>
      <w:r w:rsidR="001705C8" w:rsidRPr="00A06B25">
        <w:rPr>
          <w:rFonts w:ascii="Times New Roman" w:hAnsi="Times New Roman"/>
          <w:sz w:val="28"/>
          <w:szCs w:val="28"/>
        </w:rPr>
        <w:t xml:space="preserve">граммы  </w:t>
      </w:r>
      <w:r w:rsidR="00BB605E" w:rsidRPr="00A06B25">
        <w:rPr>
          <w:rFonts w:ascii="Times New Roman" w:hAnsi="Times New Roman"/>
          <w:sz w:val="28"/>
          <w:szCs w:val="28"/>
        </w:rPr>
        <w:t>Хабаровского края "Развитие малого и среднего пред</w:t>
      </w:r>
      <w:r w:rsidR="00BB605E" w:rsidRPr="00A06B25">
        <w:rPr>
          <w:rFonts w:ascii="Times New Roman" w:hAnsi="Times New Roman"/>
          <w:spacing w:val="2"/>
          <w:sz w:val="28"/>
          <w:szCs w:val="28"/>
        </w:rPr>
        <w:t xml:space="preserve">принимательства в Хабаровском крае на </w:t>
      </w:r>
      <w:r w:rsidR="006F07C3" w:rsidRPr="00A06B25">
        <w:rPr>
          <w:rFonts w:ascii="Times New Roman" w:hAnsi="Times New Roman"/>
          <w:sz w:val="28"/>
          <w:szCs w:val="28"/>
        </w:rPr>
        <w:t xml:space="preserve">2013–2020 </w:t>
      </w:r>
      <w:r w:rsidR="000A4818" w:rsidRPr="00A06B25">
        <w:rPr>
          <w:rFonts w:ascii="Times New Roman" w:hAnsi="Times New Roman"/>
          <w:sz w:val="28"/>
          <w:szCs w:val="28"/>
        </w:rPr>
        <w:t>годы",</w:t>
      </w:r>
      <w:r w:rsidR="00BB605E" w:rsidRPr="00A06B25">
        <w:rPr>
          <w:rFonts w:ascii="Times New Roman" w:hAnsi="Times New Roman"/>
          <w:sz w:val="28"/>
          <w:szCs w:val="28"/>
        </w:rPr>
        <w:t xml:space="preserve"> </w:t>
      </w:r>
      <w:r w:rsidR="00BB605E" w:rsidRPr="00A06B25">
        <w:rPr>
          <w:rFonts w:ascii="Times New Roman" w:hAnsi="Times New Roman"/>
          <w:bCs/>
          <w:sz w:val="28"/>
          <w:szCs w:val="28"/>
        </w:rPr>
        <w:t xml:space="preserve">утвержденной </w:t>
      </w:r>
      <w:r w:rsidR="00BB605E" w:rsidRPr="00A06B25">
        <w:rPr>
          <w:rFonts w:ascii="Times New Roman" w:hAnsi="Times New Roman"/>
          <w:sz w:val="28"/>
          <w:szCs w:val="28"/>
        </w:rPr>
        <w:t>Постановлением Правительства Хабаровского края от 17 апреля 2012 г. N 124-пр</w:t>
      </w:r>
      <w:r w:rsidR="00AE2995" w:rsidRPr="00A06B25">
        <w:rPr>
          <w:rFonts w:ascii="Times New Roman" w:hAnsi="Times New Roman"/>
          <w:sz w:val="28"/>
          <w:szCs w:val="28"/>
        </w:rPr>
        <w:t>.</w:t>
      </w:r>
    </w:p>
    <w:p w:rsidR="00944DD2" w:rsidRPr="00A06B25" w:rsidRDefault="00944DD2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Основной целью деятельности Фонда является обеспечение доступа субъектов малого и среднего предпринимательства к кредитным и иным финансовым ресурсам, а также развитие системы гарантий и поручительств по обязательствам субъектов малого и среднего предпринимательства, основанным на кредитных дого</w:t>
      </w:r>
      <w:r w:rsidR="00BB2303" w:rsidRPr="00A06B25">
        <w:rPr>
          <w:rFonts w:ascii="Times New Roman" w:hAnsi="Times New Roman"/>
          <w:sz w:val="28"/>
          <w:szCs w:val="28"/>
        </w:rPr>
        <w:t>ворах, договорах займа, лизинга, договорах о предоставлении банковских гарантий.</w:t>
      </w:r>
    </w:p>
    <w:p w:rsidR="00404500" w:rsidRPr="00A06B25" w:rsidRDefault="00404500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 xml:space="preserve">Основным направлением </w:t>
      </w:r>
      <w:r w:rsidR="000A6F63" w:rsidRPr="00A06B25">
        <w:rPr>
          <w:rFonts w:ascii="Times New Roman" w:hAnsi="Times New Roman"/>
          <w:sz w:val="28"/>
          <w:szCs w:val="28"/>
        </w:rPr>
        <w:t xml:space="preserve">деятельности </w:t>
      </w:r>
      <w:r w:rsidR="002D477F" w:rsidRPr="00A06B25">
        <w:rPr>
          <w:rFonts w:ascii="Times New Roman" w:hAnsi="Times New Roman"/>
          <w:sz w:val="28"/>
          <w:szCs w:val="28"/>
        </w:rPr>
        <w:t>Фонд</w:t>
      </w:r>
      <w:r w:rsidRPr="00A06B25">
        <w:rPr>
          <w:rFonts w:ascii="Times New Roman" w:hAnsi="Times New Roman"/>
          <w:sz w:val="28"/>
          <w:szCs w:val="28"/>
        </w:rPr>
        <w:t>а</w:t>
      </w:r>
      <w:r w:rsidR="002D477F" w:rsidRPr="00A06B25">
        <w:rPr>
          <w:rFonts w:ascii="Times New Roman" w:hAnsi="Times New Roman"/>
          <w:sz w:val="28"/>
          <w:szCs w:val="28"/>
        </w:rPr>
        <w:t xml:space="preserve"> в </w:t>
      </w:r>
      <w:r w:rsidR="000A4818" w:rsidRPr="00A06B25">
        <w:rPr>
          <w:rFonts w:ascii="Times New Roman" w:hAnsi="Times New Roman"/>
          <w:sz w:val="28"/>
          <w:szCs w:val="28"/>
        </w:rPr>
        <w:t>2017</w:t>
      </w:r>
      <w:r w:rsidR="002D477F" w:rsidRPr="00A06B25">
        <w:rPr>
          <w:rFonts w:ascii="Times New Roman" w:hAnsi="Times New Roman"/>
          <w:sz w:val="28"/>
          <w:szCs w:val="28"/>
        </w:rPr>
        <w:t xml:space="preserve"> году </w:t>
      </w:r>
      <w:r w:rsidR="001705C8" w:rsidRPr="00A06B25">
        <w:rPr>
          <w:rFonts w:ascii="Times New Roman" w:hAnsi="Times New Roman"/>
          <w:sz w:val="28"/>
          <w:szCs w:val="28"/>
        </w:rPr>
        <w:t>явля</w:t>
      </w:r>
      <w:r w:rsidR="00293805" w:rsidRPr="00A06B25">
        <w:rPr>
          <w:rFonts w:ascii="Times New Roman" w:hAnsi="Times New Roman"/>
          <w:sz w:val="28"/>
          <w:szCs w:val="28"/>
        </w:rPr>
        <w:t>лось</w:t>
      </w:r>
      <w:r w:rsidR="001705C8" w:rsidRPr="00A06B25">
        <w:rPr>
          <w:rFonts w:ascii="Times New Roman" w:hAnsi="Times New Roman"/>
          <w:sz w:val="28"/>
          <w:szCs w:val="28"/>
        </w:rPr>
        <w:t xml:space="preserve"> </w:t>
      </w:r>
      <w:r w:rsidRPr="00A06B25">
        <w:rPr>
          <w:rFonts w:ascii="Times New Roman" w:hAnsi="Times New Roman"/>
          <w:sz w:val="28"/>
          <w:szCs w:val="28"/>
        </w:rPr>
        <w:t xml:space="preserve"> </w:t>
      </w:r>
      <w:r w:rsidR="00FA76EA" w:rsidRPr="00A06B25">
        <w:rPr>
          <w:rFonts w:ascii="Times New Roman" w:hAnsi="Times New Roman"/>
          <w:sz w:val="28"/>
          <w:szCs w:val="28"/>
        </w:rPr>
        <w:t xml:space="preserve">оказание </w:t>
      </w:r>
      <w:r w:rsidR="002D477F" w:rsidRPr="00A06B25">
        <w:rPr>
          <w:rFonts w:ascii="Times New Roman" w:hAnsi="Times New Roman"/>
          <w:sz w:val="28"/>
          <w:szCs w:val="28"/>
        </w:rPr>
        <w:t>финансовой поддержки</w:t>
      </w:r>
      <w:r w:rsidR="00FA76EA" w:rsidRPr="00A06B25">
        <w:rPr>
          <w:rFonts w:ascii="Times New Roman" w:hAnsi="Times New Roman"/>
          <w:sz w:val="28"/>
          <w:szCs w:val="28"/>
        </w:rPr>
        <w:t xml:space="preserve"> </w:t>
      </w:r>
      <w:r w:rsidR="009A7AE5" w:rsidRPr="00A06B25">
        <w:rPr>
          <w:rFonts w:ascii="Times New Roman" w:hAnsi="Times New Roman"/>
          <w:sz w:val="28"/>
          <w:szCs w:val="28"/>
        </w:rPr>
        <w:t>субъектам малого и среднего предпринимательства Хабаровского края</w:t>
      </w:r>
      <w:r w:rsidRPr="00A06B25">
        <w:rPr>
          <w:rFonts w:ascii="Times New Roman" w:hAnsi="Times New Roman"/>
          <w:sz w:val="28"/>
          <w:szCs w:val="28"/>
        </w:rPr>
        <w:t xml:space="preserve">, </w:t>
      </w:r>
      <w:r w:rsidR="00FA76EA" w:rsidRPr="00A06B25">
        <w:rPr>
          <w:rFonts w:ascii="Times New Roman" w:hAnsi="Times New Roman"/>
          <w:sz w:val="28"/>
          <w:szCs w:val="28"/>
        </w:rPr>
        <w:t xml:space="preserve">а именно </w:t>
      </w:r>
      <w:r w:rsidR="007D47E9" w:rsidRPr="00A06B25">
        <w:rPr>
          <w:rFonts w:ascii="Times New Roman" w:hAnsi="Times New Roman"/>
          <w:sz w:val="28"/>
          <w:szCs w:val="28"/>
        </w:rPr>
        <w:t xml:space="preserve">предоставление </w:t>
      </w:r>
      <w:r w:rsidR="0051554F" w:rsidRPr="00A06B25">
        <w:rPr>
          <w:rFonts w:ascii="Times New Roman" w:hAnsi="Times New Roman"/>
          <w:sz w:val="28"/>
          <w:szCs w:val="28"/>
        </w:rPr>
        <w:t>поручительств</w:t>
      </w:r>
      <w:r w:rsidR="0064709D" w:rsidRPr="00A06B25">
        <w:rPr>
          <w:rFonts w:ascii="Times New Roman" w:hAnsi="Times New Roman"/>
          <w:sz w:val="28"/>
          <w:szCs w:val="28"/>
        </w:rPr>
        <w:t xml:space="preserve"> по кредитам</w:t>
      </w:r>
      <w:r w:rsidR="0051554F" w:rsidRPr="00A06B25">
        <w:rPr>
          <w:rFonts w:ascii="Times New Roman" w:hAnsi="Times New Roman"/>
          <w:sz w:val="28"/>
          <w:szCs w:val="28"/>
        </w:rPr>
        <w:t xml:space="preserve"> и </w:t>
      </w:r>
      <w:r w:rsidR="005B0F02" w:rsidRPr="00A06B25">
        <w:rPr>
          <w:rFonts w:ascii="Times New Roman" w:hAnsi="Times New Roman"/>
          <w:sz w:val="28"/>
          <w:szCs w:val="28"/>
        </w:rPr>
        <w:t>займам</w:t>
      </w:r>
      <w:r w:rsidR="0064709D" w:rsidRPr="00A06B25">
        <w:rPr>
          <w:rFonts w:ascii="Times New Roman" w:hAnsi="Times New Roman"/>
          <w:sz w:val="28"/>
          <w:szCs w:val="28"/>
        </w:rPr>
        <w:t xml:space="preserve">, полученным субъектами малого </w:t>
      </w:r>
      <w:r w:rsidR="00944DD2" w:rsidRPr="00A06B25">
        <w:rPr>
          <w:rFonts w:ascii="Times New Roman" w:hAnsi="Times New Roman"/>
          <w:sz w:val="28"/>
          <w:szCs w:val="28"/>
        </w:rPr>
        <w:t xml:space="preserve">и среднего </w:t>
      </w:r>
      <w:r w:rsidR="0064709D" w:rsidRPr="00A06B25">
        <w:rPr>
          <w:rFonts w:ascii="Times New Roman" w:hAnsi="Times New Roman"/>
          <w:sz w:val="28"/>
          <w:szCs w:val="28"/>
        </w:rPr>
        <w:t xml:space="preserve">предпринимательства в </w:t>
      </w:r>
      <w:r w:rsidR="006F07C3" w:rsidRPr="00A06B25">
        <w:rPr>
          <w:rFonts w:ascii="Times New Roman" w:hAnsi="Times New Roman"/>
          <w:sz w:val="28"/>
          <w:szCs w:val="28"/>
        </w:rPr>
        <w:t>финансовых</w:t>
      </w:r>
      <w:r w:rsidR="005B0F02" w:rsidRPr="00A06B25">
        <w:rPr>
          <w:rFonts w:ascii="Times New Roman" w:hAnsi="Times New Roman"/>
          <w:sz w:val="28"/>
          <w:szCs w:val="28"/>
        </w:rPr>
        <w:t xml:space="preserve"> организациях</w:t>
      </w:r>
      <w:r w:rsidR="00FA76EA" w:rsidRPr="00A06B25">
        <w:rPr>
          <w:rFonts w:ascii="Times New Roman" w:hAnsi="Times New Roman"/>
          <w:sz w:val="28"/>
          <w:szCs w:val="28"/>
        </w:rPr>
        <w:t>.</w:t>
      </w:r>
    </w:p>
    <w:p w:rsidR="00825602" w:rsidRPr="00A06B25" w:rsidRDefault="00970B93" w:rsidP="00A06B2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B25">
        <w:rPr>
          <w:rFonts w:ascii="Times New Roman" w:hAnsi="Times New Roman"/>
          <w:sz w:val="28"/>
          <w:szCs w:val="28"/>
        </w:rPr>
        <w:t>По состоянию на 01 января 201</w:t>
      </w:r>
      <w:r w:rsidR="005B0F02" w:rsidRPr="00A06B25">
        <w:rPr>
          <w:rFonts w:ascii="Times New Roman" w:hAnsi="Times New Roman"/>
          <w:sz w:val="28"/>
          <w:szCs w:val="28"/>
        </w:rPr>
        <w:t>8</w:t>
      </w:r>
      <w:r w:rsidRPr="00A06B25">
        <w:rPr>
          <w:rFonts w:ascii="Times New Roman" w:hAnsi="Times New Roman"/>
          <w:sz w:val="28"/>
          <w:szCs w:val="28"/>
        </w:rPr>
        <w:t xml:space="preserve"> года </w:t>
      </w:r>
      <w:r w:rsidR="00CB279A" w:rsidRPr="00A06B25">
        <w:rPr>
          <w:rFonts w:ascii="Times New Roman" w:hAnsi="Times New Roman"/>
          <w:sz w:val="28"/>
          <w:szCs w:val="28"/>
        </w:rPr>
        <w:t>19</w:t>
      </w:r>
      <w:r w:rsidRPr="00A06B25">
        <w:rPr>
          <w:rFonts w:ascii="Times New Roman" w:hAnsi="Times New Roman"/>
          <w:sz w:val="28"/>
          <w:szCs w:val="28"/>
        </w:rPr>
        <w:t xml:space="preserve"> </w:t>
      </w:r>
      <w:r w:rsidR="00CB279A" w:rsidRPr="00A06B25">
        <w:rPr>
          <w:rFonts w:ascii="Times New Roman" w:hAnsi="Times New Roman"/>
          <w:sz w:val="28"/>
          <w:szCs w:val="28"/>
        </w:rPr>
        <w:t xml:space="preserve">(девятнадцать) </w:t>
      </w:r>
      <w:r w:rsidR="006F07C3" w:rsidRPr="00A06B25">
        <w:rPr>
          <w:rFonts w:ascii="Times New Roman" w:hAnsi="Times New Roman"/>
          <w:sz w:val="28"/>
          <w:szCs w:val="28"/>
        </w:rPr>
        <w:t xml:space="preserve">действующих </w:t>
      </w:r>
      <w:r w:rsidRPr="00A06B25">
        <w:rPr>
          <w:rFonts w:ascii="Times New Roman" w:hAnsi="Times New Roman"/>
          <w:sz w:val="28"/>
          <w:szCs w:val="28"/>
        </w:rPr>
        <w:t>Соглашени</w:t>
      </w:r>
      <w:r w:rsidR="00D9635D" w:rsidRPr="00A06B25">
        <w:rPr>
          <w:rFonts w:ascii="Times New Roman" w:hAnsi="Times New Roman"/>
          <w:sz w:val="28"/>
          <w:szCs w:val="28"/>
        </w:rPr>
        <w:t>й</w:t>
      </w:r>
      <w:r w:rsidR="00944DD2" w:rsidRPr="00A06B25">
        <w:rPr>
          <w:rFonts w:ascii="Times New Roman" w:hAnsi="Times New Roman"/>
          <w:sz w:val="28"/>
          <w:szCs w:val="28"/>
        </w:rPr>
        <w:t xml:space="preserve"> о сотрудничестве </w:t>
      </w:r>
      <w:r w:rsidR="004253DC" w:rsidRPr="00A06B25">
        <w:rPr>
          <w:rFonts w:ascii="Times New Roman" w:hAnsi="Times New Roman"/>
          <w:sz w:val="28"/>
          <w:szCs w:val="28"/>
        </w:rPr>
        <w:t xml:space="preserve">Фонда </w:t>
      </w:r>
      <w:r w:rsidR="00944DD2" w:rsidRPr="00A06B25">
        <w:rPr>
          <w:rFonts w:ascii="Times New Roman" w:hAnsi="Times New Roman"/>
          <w:sz w:val="28"/>
          <w:szCs w:val="28"/>
        </w:rPr>
        <w:t xml:space="preserve">с </w:t>
      </w:r>
      <w:r w:rsidR="00D9635D" w:rsidRPr="00A06B25">
        <w:rPr>
          <w:rFonts w:ascii="Times New Roman" w:hAnsi="Times New Roman"/>
          <w:sz w:val="28"/>
          <w:szCs w:val="28"/>
        </w:rPr>
        <w:t xml:space="preserve"> </w:t>
      </w:r>
      <w:r w:rsidR="00944DD2" w:rsidRPr="00A06B25">
        <w:rPr>
          <w:rFonts w:ascii="Times New Roman" w:hAnsi="Times New Roman"/>
          <w:sz w:val="28"/>
          <w:szCs w:val="28"/>
        </w:rPr>
        <w:t>банками</w:t>
      </w:r>
      <w:r w:rsidRPr="00A06B25">
        <w:rPr>
          <w:rFonts w:ascii="Times New Roman" w:hAnsi="Times New Roman"/>
          <w:sz w:val="28"/>
          <w:szCs w:val="28"/>
        </w:rPr>
        <w:t xml:space="preserve"> по предоставлению поручительств по кредитным договорам, </w:t>
      </w:r>
      <w:r w:rsidR="00B32C5E" w:rsidRPr="00A06B25">
        <w:rPr>
          <w:rFonts w:ascii="Times New Roman" w:hAnsi="Times New Roman"/>
          <w:sz w:val="28"/>
          <w:szCs w:val="28"/>
        </w:rPr>
        <w:t>9</w:t>
      </w:r>
      <w:r w:rsidR="00CB279A" w:rsidRPr="00A06B25">
        <w:rPr>
          <w:rFonts w:ascii="Times New Roman" w:hAnsi="Times New Roman"/>
          <w:sz w:val="28"/>
          <w:szCs w:val="28"/>
        </w:rPr>
        <w:t xml:space="preserve"> (девять) </w:t>
      </w:r>
      <w:r w:rsidR="00825602" w:rsidRPr="00A06B25">
        <w:rPr>
          <w:rFonts w:ascii="Times New Roman" w:hAnsi="Times New Roman"/>
          <w:sz w:val="28"/>
          <w:szCs w:val="28"/>
        </w:rPr>
        <w:t>Соглашений</w:t>
      </w:r>
      <w:r w:rsidR="00944DD2" w:rsidRPr="00A06B25">
        <w:rPr>
          <w:rFonts w:ascii="Times New Roman" w:hAnsi="Times New Roman"/>
          <w:sz w:val="28"/>
          <w:szCs w:val="28"/>
        </w:rPr>
        <w:t xml:space="preserve"> </w:t>
      </w:r>
      <w:r w:rsidR="00825602" w:rsidRPr="00A06B25">
        <w:rPr>
          <w:rFonts w:ascii="Times New Roman" w:hAnsi="Times New Roman"/>
          <w:sz w:val="28"/>
          <w:szCs w:val="28"/>
        </w:rPr>
        <w:t>по предоставлению поручительств по договорам о пре</w:t>
      </w:r>
      <w:r w:rsidR="00D9635D" w:rsidRPr="00A06B25">
        <w:rPr>
          <w:rFonts w:ascii="Times New Roman" w:hAnsi="Times New Roman"/>
          <w:sz w:val="28"/>
          <w:szCs w:val="28"/>
        </w:rPr>
        <w:t>доставлении банковской гарантии, Согла</w:t>
      </w:r>
      <w:r w:rsidR="00CB279A" w:rsidRPr="00A06B25">
        <w:rPr>
          <w:rFonts w:ascii="Times New Roman" w:hAnsi="Times New Roman"/>
          <w:sz w:val="28"/>
          <w:szCs w:val="28"/>
        </w:rPr>
        <w:t>шение о сотрудничестве Фонда с МФО</w:t>
      </w:r>
      <w:r w:rsidR="00D9635D" w:rsidRPr="00A06B25">
        <w:rPr>
          <w:rFonts w:ascii="Times New Roman" w:hAnsi="Times New Roman"/>
          <w:sz w:val="28"/>
          <w:szCs w:val="28"/>
        </w:rPr>
        <w:t xml:space="preserve"> по предоставлению поручительств по договорам займа</w:t>
      </w:r>
      <w:r w:rsidR="000336BD" w:rsidRPr="00A06B25">
        <w:rPr>
          <w:rFonts w:ascii="Times New Roman" w:hAnsi="Times New Roman"/>
          <w:sz w:val="28"/>
          <w:szCs w:val="28"/>
        </w:rPr>
        <w:t xml:space="preserve">, </w:t>
      </w:r>
      <w:r w:rsidR="000815D0" w:rsidRPr="00A06B25">
        <w:rPr>
          <w:rFonts w:ascii="Times New Roman" w:hAnsi="Times New Roman"/>
          <w:sz w:val="28"/>
          <w:szCs w:val="28"/>
        </w:rPr>
        <w:t>С</w:t>
      </w:r>
      <w:r w:rsidR="000336BD" w:rsidRPr="00A06B25">
        <w:rPr>
          <w:rFonts w:ascii="Times New Roman" w:hAnsi="Times New Roman"/>
          <w:sz w:val="28"/>
          <w:szCs w:val="28"/>
        </w:rPr>
        <w:t>оглашение о сотрудни</w:t>
      </w:r>
      <w:r w:rsidR="000815D0" w:rsidRPr="00A06B25">
        <w:rPr>
          <w:rFonts w:ascii="Times New Roman" w:hAnsi="Times New Roman"/>
          <w:sz w:val="28"/>
          <w:szCs w:val="28"/>
        </w:rPr>
        <w:t xml:space="preserve">честве с лизинговой компанией, Соглашение </w:t>
      </w:r>
      <w:r w:rsidR="000336BD" w:rsidRPr="00A06B25">
        <w:rPr>
          <w:rFonts w:ascii="Times New Roman" w:hAnsi="Times New Roman"/>
          <w:sz w:val="28"/>
          <w:szCs w:val="28"/>
        </w:rPr>
        <w:t>о сотрудничестве с Фондом развития моногородов</w:t>
      </w:r>
      <w:r w:rsidR="00D9635D" w:rsidRPr="00A06B25">
        <w:rPr>
          <w:rFonts w:ascii="Times New Roman" w:hAnsi="Times New Roman"/>
          <w:sz w:val="28"/>
          <w:szCs w:val="28"/>
        </w:rPr>
        <w:t>.</w:t>
      </w:r>
      <w:proofErr w:type="gramEnd"/>
    </w:p>
    <w:p w:rsidR="00F90C8F" w:rsidRPr="00A06B25" w:rsidRDefault="00F90C8F" w:rsidP="00A06B2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Капитализация Фонда составляет</w:t>
      </w:r>
      <w:r w:rsidR="00A47B6D" w:rsidRPr="00A06B25">
        <w:rPr>
          <w:rFonts w:ascii="Times New Roman" w:hAnsi="Times New Roman"/>
          <w:sz w:val="28"/>
          <w:szCs w:val="28"/>
        </w:rPr>
        <w:t xml:space="preserve"> 393</w:t>
      </w:r>
      <w:r w:rsidRPr="00A06B25">
        <w:rPr>
          <w:rFonts w:ascii="Times New Roman" w:hAnsi="Times New Roman"/>
          <w:sz w:val="28"/>
          <w:szCs w:val="28"/>
        </w:rPr>
        <w:t xml:space="preserve"> млн. </w:t>
      </w:r>
      <w:r w:rsidR="00A47B6D" w:rsidRPr="00A06B25">
        <w:rPr>
          <w:rFonts w:ascii="Times New Roman" w:hAnsi="Times New Roman"/>
          <w:sz w:val="28"/>
          <w:szCs w:val="28"/>
        </w:rPr>
        <w:t>300</w:t>
      </w:r>
      <w:r w:rsidR="00CB279A" w:rsidRPr="00A06B25">
        <w:rPr>
          <w:rFonts w:ascii="Times New Roman" w:hAnsi="Times New Roman"/>
          <w:sz w:val="28"/>
          <w:szCs w:val="28"/>
        </w:rPr>
        <w:t xml:space="preserve"> тыс. </w:t>
      </w:r>
      <w:r w:rsidRPr="00A06B25">
        <w:rPr>
          <w:rFonts w:ascii="Times New Roman" w:hAnsi="Times New Roman"/>
          <w:sz w:val="28"/>
          <w:szCs w:val="28"/>
        </w:rPr>
        <w:t xml:space="preserve">рублей, </w:t>
      </w:r>
      <w:r w:rsidR="00A47B6D" w:rsidRPr="00A06B25">
        <w:rPr>
          <w:rFonts w:ascii="Times New Roman" w:hAnsi="Times New Roman"/>
          <w:sz w:val="28"/>
          <w:szCs w:val="28"/>
        </w:rPr>
        <w:t>в том числе</w:t>
      </w:r>
      <w:r w:rsidRPr="00A06B25">
        <w:rPr>
          <w:rFonts w:ascii="Times New Roman" w:hAnsi="Times New Roman"/>
          <w:sz w:val="28"/>
          <w:szCs w:val="28"/>
        </w:rPr>
        <w:t xml:space="preserve"> </w:t>
      </w:r>
      <w:r w:rsidR="005F709A" w:rsidRPr="00A06B25">
        <w:rPr>
          <w:rFonts w:ascii="Times New Roman" w:hAnsi="Times New Roman"/>
          <w:sz w:val="28"/>
          <w:szCs w:val="28"/>
        </w:rPr>
        <w:t>313</w:t>
      </w:r>
      <w:r w:rsidR="006D6E9B" w:rsidRPr="00A06B25">
        <w:rPr>
          <w:rFonts w:ascii="Times New Roman" w:hAnsi="Times New Roman"/>
          <w:sz w:val="28"/>
          <w:szCs w:val="28"/>
        </w:rPr>
        <w:t xml:space="preserve"> млн.</w:t>
      </w:r>
      <w:r w:rsidR="005F709A" w:rsidRPr="00A06B25">
        <w:rPr>
          <w:rFonts w:ascii="Times New Roman" w:hAnsi="Times New Roman"/>
          <w:sz w:val="28"/>
          <w:szCs w:val="28"/>
        </w:rPr>
        <w:t xml:space="preserve"> 688 тыс. </w:t>
      </w:r>
      <w:r w:rsidRPr="00A06B25">
        <w:rPr>
          <w:rFonts w:ascii="Times New Roman" w:hAnsi="Times New Roman"/>
          <w:sz w:val="28"/>
          <w:szCs w:val="28"/>
        </w:rPr>
        <w:t xml:space="preserve">рублей  сформировано за счет средств федерального бюджета, </w:t>
      </w:r>
      <w:r w:rsidR="005F709A" w:rsidRPr="00A06B25">
        <w:rPr>
          <w:rFonts w:ascii="Times New Roman" w:hAnsi="Times New Roman"/>
          <w:sz w:val="28"/>
          <w:szCs w:val="28"/>
        </w:rPr>
        <w:t>74</w:t>
      </w:r>
      <w:r w:rsidRPr="00A06B25">
        <w:rPr>
          <w:rFonts w:ascii="Times New Roman" w:hAnsi="Times New Roman"/>
          <w:sz w:val="28"/>
          <w:szCs w:val="28"/>
        </w:rPr>
        <w:t xml:space="preserve"> млн.</w:t>
      </w:r>
      <w:r w:rsidR="005F709A" w:rsidRPr="00A06B25">
        <w:rPr>
          <w:rFonts w:ascii="Times New Roman" w:hAnsi="Times New Roman"/>
          <w:sz w:val="28"/>
          <w:szCs w:val="28"/>
        </w:rPr>
        <w:t xml:space="preserve"> 427</w:t>
      </w:r>
      <w:r w:rsidRPr="00A06B25">
        <w:rPr>
          <w:rFonts w:ascii="Times New Roman" w:hAnsi="Times New Roman"/>
          <w:sz w:val="28"/>
          <w:szCs w:val="28"/>
        </w:rPr>
        <w:t xml:space="preserve"> тыс. рублей за </w:t>
      </w:r>
      <w:r w:rsidR="006F07C3" w:rsidRPr="00A06B25">
        <w:rPr>
          <w:rFonts w:ascii="Times New Roman" w:hAnsi="Times New Roman"/>
          <w:sz w:val="28"/>
          <w:szCs w:val="28"/>
        </w:rPr>
        <w:t>счет сре</w:t>
      </w:r>
      <w:proofErr w:type="gramStart"/>
      <w:r w:rsidR="006F07C3" w:rsidRPr="00A06B25">
        <w:rPr>
          <w:rFonts w:ascii="Times New Roman" w:hAnsi="Times New Roman"/>
          <w:sz w:val="28"/>
          <w:szCs w:val="28"/>
        </w:rPr>
        <w:t>дств кр</w:t>
      </w:r>
      <w:proofErr w:type="gramEnd"/>
      <w:r w:rsidR="006F07C3" w:rsidRPr="00A06B25">
        <w:rPr>
          <w:rFonts w:ascii="Times New Roman" w:hAnsi="Times New Roman"/>
          <w:sz w:val="28"/>
          <w:szCs w:val="28"/>
        </w:rPr>
        <w:t xml:space="preserve">аевого бюджета, </w:t>
      </w:r>
      <w:r w:rsidR="005F709A" w:rsidRPr="00A06B25">
        <w:rPr>
          <w:rFonts w:ascii="Times New Roman" w:hAnsi="Times New Roman"/>
          <w:sz w:val="28"/>
          <w:szCs w:val="28"/>
        </w:rPr>
        <w:t>5</w:t>
      </w:r>
      <w:r w:rsidRPr="00A06B25">
        <w:rPr>
          <w:rFonts w:ascii="Times New Roman" w:hAnsi="Times New Roman"/>
          <w:sz w:val="28"/>
          <w:szCs w:val="28"/>
        </w:rPr>
        <w:t xml:space="preserve"> млн. </w:t>
      </w:r>
      <w:r w:rsidR="005F709A" w:rsidRPr="00A06B25">
        <w:rPr>
          <w:rFonts w:ascii="Times New Roman" w:hAnsi="Times New Roman"/>
          <w:sz w:val="28"/>
          <w:szCs w:val="28"/>
        </w:rPr>
        <w:t>185</w:t>
      </w:r>
      <w:r w:rsidRPr="00A06B25">
        <w:rPr>
          <w:rFonts w:ascii="Times New Roman" w:hAnsi="Times New Roman"/>
          <w:sz w:val="28"/>
          <w:szCs w:val="28"/>
        </w:rPr>
        <w:t xml:space="preserve"> тыс. руб. – </w:t>
      </w:r>
      <w:r w:rsidR="005F709A" w:rsidRPr="00A06B25">
        <w:rPr>
          <w:rFonts w:ascii="Times New Roman" w:hAnsi="Times New Roman"/>
          <w:sz w:val="28"/>
          <w:szCs w:val="28"/>
        </w:rPr>
        <w:t>иные источники</w:t>
      </w:r>
      <w:r w:rsidRPr="00A06B25">
        <w:rPr>
          <w:rFonts w:ascii="Times New Roman" w:hAnsi="Times New Roman"/>
          <w:sz w:val="28"/>
          <w:szCs w:val="28"/>
        </w:rPr>
        <w:t xml:space="preserve"> (</w:t>
      </w:r>
      <w:r w:rsidR="006F07C3" w:rsidRPr="00A06B25">
        <w:rPr>
          <w:rFonts w:ascii="Times New Roman" w:hAnsi="Times New Roman"/>
          <w:sz w:val="28"/>
          <w:szCs w:val="28"/>
        </w:rPr>
        <w:t xml:space="preserve">МКК </w:t>
      </w:r>
      <w:r w:rsidRPr="00A06B25">
        <w:rPr>
          <w:rFonts w:ascii="Times New Roman" w:hAnsi="Times New Roman"/>
          <w:sz w:val="28"/>
          <w:szCs w:val="28"/>
        </w:rPr>
        <w:t>ФПМП ХК).</w:t>
      </w:r>
    </w:p>
    <w:p w:rsidR="00825602" w:rsidRPr="00A06B25" w:rsidRDefault="00CA184A" w:rsidP="00A06B2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25">
        <w:rPr>
          <w:rFonts w:ascii="Times New Roman" w:hAnsi="Times New Roman"/>
          <w:sz w:val="28"/>
          <w:szCs w:val="28"/>
        </w:rPr>
        <w:t xml:space="preserve">В </w:t>
      </w:r>
      <w:r w:rsidR="000A4818" w:rsidRPr="00A06B25">
        <w:rPr>
          <w:rFonts w:ascii="Times New Roman" w:hAnsi="Times New Roman"/>
          <w:sz w:val="28"/>
          <w:szCs w:val="28"/>
        </w:rPr>
        <w:t>2017</w:t>
      </w:r>
      <w:r w:rsidR="00993C93" w:rsidRPr="00A06B25">
        <w:rPr>
          <w:rFonts w:ascii="Times New Roman" w:hAnsi="Times New Roman"/>
          <w:sz w:val="28"/>
          <w:szCs w:val="28"/>
        </w:rPr>
        <w:t xml:space="preserve"> году</w:t>
      </w:r>
      <w:r w:rsidR="00C136DB" w:rsidRPr="00A06B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36DB" w:rsidRPr="00A06B25">
        <w:rPr>
          <w:rFonts w:ascii="Times New Roman" w:hAnsi="Times New Roman"/>
          <w:sz w:val="28"/>
          <w:szCs w:val="28"/>
        </w:rPr>
        <w:t>Гарантийн</w:t>
      </w:r>
      <w:r w:rsidR="00F360B6">
        <w:rPr>
          <w:rFonts w:ascii="Times New Roman" w:hAnsi="Times New Roman"/>
          <w:sz w:val="28"/>
          <w:szCs w:val="28"/>
        </w:rPr>
        <w:t>ый</w:t>
      </w:r>
      <w:proofErr w:type="gramEnd"/>
      <w:r w:rsidR="00C136DB" w:rsidRPr="00A06B25">
        <w:rPr>
          <w:rFonts w:ascii="Times New Roman" w:hAnsi="Times New Roman"/>
          <w:sz w:val="28"/>
          <w:szCs w:val="28"/>
        </w:rPr>
        <w:t xml:space="preserve"> фонд 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>заключ</w:t>
      </w:r>
      <w:r w:rsidR="00F360B6"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E9B" w:rsidRPr="00A06B25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944DD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D6E9B" w:rsidRPr="00A06B25">
        <w:rPr>
          <w:rFonts w:ascii="Times New Roman" w:eastAsia="Times New Roman" w:hAnsi="Times New Roman"/>
          <w:sz w:val="28"/>
          <w:szCs w:val="28"/>
          <w:lang w:eastAsia="ru-RU"/>
        </w:rPr>
        <w:t>шестьдесят пять</w:t>
      </w:r>
      <w:r w:rsidR="00944DD2" w:rsidRPr="00A06B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поручительства на сумму </w:t>
      </w:r>
      <w:r w:rsidR="006D6E9B" w:rsidRPr="00A06B25">
        <w:rPr>
          <w:rFonts w:ascii="Times New Roman" w:hAnsi="Times New Roman"/>
          <w:i/>
          <w:sz w:val="28"/>
          <w:szCs w:val="28"/>
          <w:shd w:val="clear" w:color="auto" w:fill="FFFFFF"/>
        </w:rPr>
        <w:t>32</w:t>
      </w:r>
      <w:r w:rsidR="006F07C3" w:rsidRPr="00A06B25">
        <w:rPr>
          <w:rFonts w:ascii="Times New Roman" w:hAnsi="Times New Roman"/>
          <w:i/>
          <w:sz w:val="28"/>
          <w:szCs w:val="28"/>
          <w:shd w:val="clear" w:color="auto" w:fill="FFFFFF"/>
        </w:rPr>
        <w:t>3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</w:t>
      </w:r>
      <w:r w:rsidR="00F90C8F" w:rsidRPr="00A06B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позволило субъектам малого и среднего предпринимательства Хабаровского края привлечь финансовых  ресурсов в размере </w:t>
      </w:r>
      <w:r w:rsidR="006D6E9B" w:rsidRPr="00A06B2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 млрд. 322 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млн. рублей. </w:t>
      </w:r>
    </w:p>
    <w:p w:rsidR="00AE0441" w:rsidRPr="00A06B25" w:rsidRDefault="00B91F76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B25">
        <w:rPr>
          <w:rFonts w:ascii="Times New Roman" w:hAnsi="Times New Roman"/>
          <w:sz w:val="28"/>
          <w:szCs w:val="28"/>
          <w:shd w:val="clear" w:color="auto" w:fill="FFFFFF"/>
        </w:rPr>
        <w:t>По состоянию на 01.01.201</w:t>
      </w:r>
      <w:r w:rsidR="001C55A1" w:rsidRPr="00A06B25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портфель поручительств Гарантийного фонда составил </w:t>
      </w:r>
      <w:r w:rsidR="001C55A1" w:rsidRPr="00A06B25">
        <w:rPr>
          <w:rFonts w:ascii="Times New Roman" w:hAnsi="Times New Roman"/>
          <w:sz w:val="28"/>
          <w:szCs w:val="28"/>
          <w:shd w:val="clear" w:color="auto" w:fill="FFFFFF"/>
        </w:rPr>
        <w:t>681</w:t>
      </w:r>
      <w:r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млн. </w:t>
      </w:r>
      <w:r w:rsidR="001C55A1" w:rsidRPr="00A06B25">
        <w:rPr>
          <w:rFonts w:ascii="Times New Roman" w:hAnsi="Times New Roman"/>
          <w:sz w:val="28"/>
          <w:szCs w:val="28"/>
          <w:shd w:val="clear" w:color="auto" w:fill="FFFFFF"/>
        </w:rPr>
        <w:t>570</w:t>
      </w:r>
      <w:r w:rsidR="00F90C8F"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руб., действующих договоров поручительств</w:t>
      </w:r>
      <w:r w:rsidR="00B01AEC" w:rsidRPr="00A06B2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07C3"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C55A1" w:rsidRPr="00A06B25">
        <w:rPr>
          <w:rFonts w:ascii="Times New Roman" w:hAnsi="Times New Roman"/>
          <w:sz w:val="28"/>
          <w:szCs w:val="28"/>
          <w:shd w:val="clear" w:color="auto" w:fill="FFFFFF"/>
        </w:rPr>
        <w:t>150</w:t>
      </w:r>
      <w:r w:rsidR="00F90C8F" w:rsidRPr="00A06B2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6156"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06B25" w:rsidRDefault="00A06B2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</w:pPr>
      <w:bookmarkStart w:id="0" w:name="_Toc329858092"/>
      <w:bookmarkStart w:id="1" w:name="_Toc329858460"/>
      <w:bookmarkStart w:id="2" w:name="_Toc329858609"/>
      <w:bookmarkStart w:id="3" w:name="_Toc348531827"/>
      <w:bookmarkStart w:id="4" w:name="_Toc348531840"/>
      <w:bookmarkStart w:id="5" w:name="_Toc348531887"/>
      <w:r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br w:type="page"/>
      </w:r>
    </w:p>
    <w:p w:rsidR="00A06B25" w:rsidRPr="00A06B25" w:rsidRDefault="00427FDA" w:rsidP="00A06B25">
      <w:pPr>
        <w:keepNext/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2. </w:t>
      </w:r>
      <w:r w:rsidR="00E51A73" w:rsidRPr="00A06B25">
        <w:rPr>
          <w:rFonts w:ascii="Times New Roman" w:eastAsia="Times New Roman" w:hAnsi="Times New Roman"/>
          <w:b/>
          <w:bCs/>
          <w:sz w:val="28"/>
          <w:szCs w:val="28"/>
        </w:rPr>
        <w:t>Условия, порядок формирования и использования гарантийного капитала</w:t>
      </w:r>
      <w:bookmarkEnd w:id="0"/>
      <w:bookmarkEnd w:id="1"/>
      <w:bookmarkEnd w:id="2"/>
      <w:bookmarkEnd w:id="3"/>
      <w:bookmarkEnd w:id="4"/>
      <w:bookmarkEnd w:id="5"/>
      <w:r w:rsidR="00002341" w:rsidRPr="00A06B25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A06B25" w:rsidRPr="00A06B25" w:rsidRDefault="00A06B25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A7DB5" w:rsidRPr="00A06B25" w:rsidRDefault="002B2D02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По состоянию на 01.01.201</w:t>
      </w:r>
      <w:r w:rsidR="00AA7DB5" w:rsidRPr="00A06B25">
        <w:rPr>
          <w:rFonts w:ascii="Times New Roman" w:hAnsi="Times New Roman"/>
          <w:sz w:val="28"/>
          <w:szCs w:val="28"/>
        </w:rPr>
        <w:t>8</w:t>
      </w:r>
      <w:r w:rsidRPr="00A06B25">
        <w:rPr>
          <w:rFonts w:ascii="Times New Roman" w:hAnsi="Times New Roman"/>
          <w:sz w:val="28"/>
          <w:szCs w:val="28"/>
        </w:rPr>
        <w:t xml:space="preserve"> года капитализация Фонда </w:t>
      </w:r>
      <w:r w:rsidR="00AA7DB5" w:rsidRPr="00A06B25">
        <w:rPr>
          <w:rFonts w:ascii="Times New Roman" w:hAnsi="Times New Roman"/>
          <w:sz w:val="28"/>
          <w:szCs w:val="28"/>
        </w:rPr>
        <w:t>состав</w:t>
      </w:r>
      <w:r w:rsidR="00400EAD" w:rsidRPr="00A06B25">
        <w:rPr>
          <w:rFonts w:ascii="Times New Roman" w:hAnsi="Times New Roman"/>
          <w:sz w:val="28"/>
          <w:szCs w:val="28"/>
        </w:rPr>
        <w:t>ила</w:t>
      </w:r>
      <w:r w:rsidR="00AA7DB5" w:rsidRPr="00A06B25">
        <w:rPr>
          <w:rFonts w:ascii="Times New Roman" w:hAnsi="Times New Roman"/>
          <w:sz w:val="28"/>
          <w:szCs w:val="28"/>
        </w:rPr>
        <w:t xml:space="preserve"> 393 млн. 300 тыс. рублей, в том числе 313 млн. 688 тыс. рублей  сформировано за счет средств федерального бюджета, 74 млн. 427 тыс. рублей за счет сре</w:t>
      </w:r>
      <w:proofErr w:type="gramStart"/>
      <w:r w:rsidR="00AA7DB5" w:rsidRPr="00A06B25">
        <w:rPr>
          <w:rFonts w:ascii="Times New Roman" w:hAnsi="Times New Roman"/>
          <w:sz w:val="28"/>
          <w:szCs w:val="28"/>
        </w:rPr>
        <w:t>дств кр</w:t>
      </w:r>
      <w:proofErr w:type="gramEnd"/>
      <w:r w:rsidR="00AA7DB5" w:rsidRPr="00A06B25">
        <w:rPr>
          <w:rFonts w:ascii="Times New Roman" w:hAnsi="Times New Roman"/>
          <w:sz w:val="28"/>
          <w:szCs w:val="28"/>
        </w:rPr>
        <w:t>аевого бюджета и 5 млн. 185 тыс. руб. – иные источники (</w:t>
      </w:r>
      <w:r w:rsidR="00400EAD" w:rsidRPr="00A06B25">
        <w:rPr>
          <w:rFonts w:ascii="Times New Roman" w:hAnsi="Times New Roman"/>
          <w:sz w:val="28"/>
          <w:szCs w:val="28"/>
        </w:rPr>
        <w:t xml:space="preserve">МКК </w:t>
      </w:r>
      <w:r w:rsidR="00AA7DB5" w:rsidRPr="00A06B25">
        <w:rPr>
          <w:rFonts w:ascii="Times New Roman" w:hAnsi="Times New Roman"/>
          <w:sz w:val="28"/>
          <w:szCs w:val="28"/>
        </w:rPr>
        <w:t>ФПМП ХК).</w:t>
      </w:r>
    </w:p>
    <w:p w:rsidR="0055517F" w:rsidRPr="00A06B25" w:rsidRDefault="00AA7DB5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B25">
        <w:rPr>
          <w:rFonts w:ascii="Times New Roman" w:hAnsi="Times New Roman"/>
          <w:sz w:val="28"/>
          <w:szCs w:val="28"/>
        </w:rPr>
        <w:t>Гарантийный</w:t>
      </w:r>
      <w:proofErr w:type="gramEnd"/>
      <w:r w:rsidRPr="00A06B25">
        <w:rPr>
          <w:rFonts w:ascii="Times New Roman" w:hAnsi="Times New Roman"/>
          <w:sz w:val="28"/>
          <w:szCs w:val="28"/>
        </w:rPr>
        <w:t xml:space="preserve"> фонд</w:t>
      </w:r>
      <w:r w:rsidR="0055517F" w:rsidRPr="00A06B25">
        <w:rPr>
          <w:rFonts w:ascii="Times New Roman" w:hAnsi="Times New Roman"/>
          <w:sz w:val="28"/>
          <w:szCs w:val="28"/>
        </w:rPr>
        <w:t xml:space="preserve"> </w:t>
      </w:r>
      <w:r w:rsidRPr="00A06B25">
        <w:rPr>
          <w:rFonts w:ascii="Times New Roman" w:hAnsi="Times New Roman"/>
          <w:sz w:val="28"/>
          <w:szCs w:val="28"/>
        </w:rPr>
        <w:t>избрал</w:t>
      </w:r>
      <w:r w:rsidR="0055517F" w:rsidRPr="00A06B25">
        <w:rPr>
          <w:rFonts w:ascii="Times New Roman" w:hAnsi="Times New Roman"/>
          <w:sz w:val="28"/>
          <w:szCs w:val="28"/>
        </w:rPr>
        <w:t xml:space="preserve"> способ</w:t>
      </w:r>
      <w:r w:rsidRPr="00A06B25">
        <w:rPr>
          <w:rFonts w:ascii="Times New Roman" w:hAnsi="Times New Roman"/>
          <w:sz w:val="28"/>
          <w:szCs w:val="28"/>
        </w:rPr>
        <w:t>ом</w:t>
      </w:r>
      <w:r w:rsidR="0055517F" w:rsidRPr="00A06B25">
        <w:rPr>
          <w:rFonts w:ascii="Times New Roman" w:hAnsi="Times New Roman"/>
          <w:sz w:val="28"/>
          <w:szCs w:val="28"/>
        </w:rPr>
        <w:t xml:space="preserve"> размещения денежных средств, предназначенных для предоставления поручительств </w:t>
      </w:r>
      <w:r w:rsidR="00AE0441" w:rsidRPr="00A06B25">
        <w:rPr>
          <w:rFonts w:ascii="Times New Roman" w:hAnsi="Times New Roman"/>
          <w:sz w:val="28"/>
          <w:szCs w:val="28"/>
        </w:rPr>
        <w:t xml:space="preserve">- </w:t>
      </w:r>
      <w:r w:rsidR="0055517F" w:rsidRPr="00A06B25">
        <w:rPr>
          <w:rFonts w:ascii="Times New Roman" w:hAnsi="Times New Roman"/>
          <w:sz w:val="28"/>
          <w:szCs w:val="28"/>
        </w:rPr>
        <w:t>размещение денежных средств во вклады (депозиты).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Средства гарантийного капитала Фонда размещены во вклады (депозиты) в банках, отобранных в соответствии с требованиями Приказа Минэкономразвития России от 28.11.2016 года №763 «Об утверждении требований к фондам содействия кредитованию (гарантийным фондам, фондам поручительств) и их деятельности: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наличие у Банка лицензии Центрального банка Российской Федерации на осуществление банковских операций;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наличие у  Банка  собственных средств (капитала) в размере не менее 50 млрд. рублей по данным Центрального Банка РФ;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 w:rsidRPr="00A06B25">
        <w:rPr>
          <w:rFonts w:ascii="Times New Roman" w:hAnsi="Times New Roman"/>
          <w:sz w:val="28"/>
          <w:szCs w:val="28"/>
        </w:rPr>
        <w:t>ФитчРейтингс</w:t>
      </w:r>
      <w:proofErr w:type="spellEnd"/>
      <w:r w:rsidRPr="00A06B25">
        <w:rPr>
          <w:rFonts w:ascii="Times New Roman" w:hAnsi="Times New Roman"/>
          <w:sz w:val="28"/>
          <w:szCs w:val="28"/>
        </w:rPr>
        <w:t>» (</w:t>
      </w:r>
      <w:proofErr w:type="spellStart"/>
      <w:r w:rsidRPr="00A06B25">
        <w:rPr>
          <w:rFonts w:ascii="Times New Roman" w:hAnsi="Times New Roman"/>
          <w:sz w:val="28"/>
          <w:szCs w:val="28"/>
        </w:rPr>
        <w:t>Fitch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B25">
        <w:rPr>
          <w:rFonts w:ascii="Times New Roman" w:hAnsi="Times New Roman"/>
          <w:sz w:val="28"/>
          <w:szCs w:val="28"/>
        </w:rPr>
        <w:t>Ratings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) или «Стандарт энд </w:t>
      </w:r>
      <w:proofErr w:type="spellStart"/>
      <w:r w:rsidRPr="00A06B25">
        <w:rPr>
          <w:rFonts w:ascii="Times New Roman" w:hAnsi="Times New Roman"/>
          <w:sz w:val="28"/>
          <w:szCs w:val="28"/>
        </w:rPr>
        <w:t>Пурс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A06B25">
        <w:rPr>
          <w:rFonts w:ascii="Times New Roman" w:hAnsi="Times New Roman"/>
          <w:sz w:val="28"/>
          <w:szCs w:val="28"/>
        </w:rPr>
        <w:t>Standard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A06B25">
        <w:rPr>
          <w:rFonts w:ascii="Times New Roman" w:hAnsi="Times New Roman"/>
          <w:sz w:val="28"/>
          <w:szCs w:val="28"/>
        </w:rPr>
        <w:t>Poor's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не ниже "BB-", либо «</w:t>
      </w:r>
      <w:proofErr w:type="spellStart"/>
      <w:r w:rsidRPr="00A06B25">
        <w:rPr>
          <w:rFonts w:ascii="Times New Roman" w:hAnsi="Times New Roman"/>
          <w:sz w:val="28"/>
          <w:szCs w:val="28"/>
        </w:rPr>
        <w:t>МудисИнвесторс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Сервис» (</w:t>
      </w:r>
      <w:proofErr w:type="spellStart"/>
      <w:r w:rsidRPr="00A06B25">
        <w:rPr>
          <w:rFonts w:ascii="Times New Roman" w:hAnsi="Times New Roman"/>
          <w:sz w:val="28"/>
          <w:szCs w:val="28"/>
        </w:rPr>
        <w:t>Moody's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B25">
        <w:rPr>
          <w:rFonts w:ascii="Times New Roman" w:hAnsi="Times New Roman"/>
          <w:sz w:val="28"/>
          <w:szCs w:val="28"/>
        </w:rPr>
        <w:t>Investors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B25">
        <w:rPr>
          <w:rFonts w:ascii="Times New Roman" w:hAnsi="Times New Roman"/>
          <w:sz w:val="28"/>
          <w:szCs w:val="28"/>
        </w:rPr>
        <w:t>Service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) не ниже "Ba3"."; 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 xml:space="preserve">срок деятельности кредитной организации </w:t>
      </w:r>
      <w:proofErr w:type="gramStart"/>
      <w:r w:rsidRPr="00A06B25">
        <w:rPr>
          <w:rFonts w:ascii="Times New Roman" w:hAnsi="Times New Roman"/>
          <w:sz w:val="28"/>
          <w:szCs w:val="28"/>
        </w:rPr>
        <w:t>с даты</w:t>
      </w:r>
      <w:proofErr w:type="gramEnd"/>
      <w:r w:rsidRPr="00A06B25">
        <w:rPr>
          <w:rFonts w:ascii="Times New Roman" w:hAnsi="Times New Roman"/>
          <w:sz w:val="28"/>
          <w:szCs w:val="28"/>
        </w:rPr>
        <w:t xml:space="preserve"> ее регистрации составляет не менее 5 (пяти) лет;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Максимальный срок размещения средств составляет 6 (шесть) месяцев.</w:t>
      </w:r>
    </w:p>
    <w:p w:rsidR="002B2D02" w:rsidRPr="00A06B25" w:rsidRDefault="002B2D02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bookmarkStart w:id="6" w:name="_Toc329858094"/>
      <w:bookmarkStart w:id="7" w:name="_Toc329858462"/>
      <w:bookmarkStart w:id="8" w:name="_Toc329858611"/>
      <w:r w:rsidRPr="00A06B25">
        <w:rPr>
          <w:rFonts w:ascii="Times New Roman" w:hAnsi="Times New Roman"/>
          <w:sz w:val="28"/>
          <w:szCs w:val="28"/>
        </w:rPr>
        <w:t xml:space="preserve">В </w:t>
      </w:r>
      <w:r w:rsidR="000A4818" w:rsidRPr="00A06B25">
        <w:rPr>
          <w:rFonts w:ascii="Times New Roman" w:hAnsi="Times New Roman"/>
          <w:sz w:val="28"/>
          <w:szCs w:val="28"/>
        </w:rPr>
        <w:t>2017</w:t>
      </w:r>
      <w:r w:rsidRPr="00A06B25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1D232C" w:rsidRPr="00A06B25">
        <w:rPr>
          <w:rFonts w:ascii="Times New Roman" w:hAnsi="Times New Roman"/>
          <w:sz w:val="28"/>
          <w:szCs w:val="28"/>
        </w:rPr>
        <w:t>16 (шестнадцать) отборов</w:t>
      </w:r>
      <w:r w:rsidRPr="00A06B25">
        <w:rPr>
          <w:rFonts w:ascii="Times New Roman" w:hAnsi="Times New Roman"/>
          <w:sz w:val="28"/>
          <w:szCs w:val="28"/>
        </w:rPr>
        <w:t xml:space="preserve"> банков для размещения средств Гарантийного фонда Хабаровского края во вклад (депозит).</w:t>
      </w:r>
    </w:p>
    <w:p w:rsidR="002B2D02" w:rsidRPr="00A06B25" w:rsidRDefault="002B2D02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По состоянию на 01.01.201</w:t>
      </w:r>
      <w:r w:rsidR="00AA7DB5" w:rsidRPr="00A06B25">
        <w:rPr>
          <w:rFonts w:ascii="Times New Roman" w:hAnsi="Times New Roman"/>
          <w:sz w:val="28"/>
          <w:szCs w:val="28"/>
        </w:rPr>
        <w:t>8</w:t>
      </w:r>
      <w:r w:rsidRPr="00A06B25">
        <w:rPr>
          <w:rFonts w:ascii="Times New Roman" w:hAnsi="Times New Roman"/>
          <w:sz w:val="28"/>
          <w:szCs w:val="28"/>
        </w:rPr>
        <w:t xml:space="preserve"> года средства, предназначенные для реализации программы предоставления поручительств по обязательствам </w:t>
      </w:r>
      <w:r w:rsidRPr="00A06B25">
        <w:rPr>
          <w:rFonts w:ascii="Times New Roman" w:hAnsi="Times New Roman"/>
          <w:sz w:val="28"/>
          <w:szCs w:val="28"/>
        </w:rPr>
        <w:lastRenderedPageBreak/>
        <w:t>субъектов малого и среднего предпринимательства Хабаровского края, находящиеся под управлением Гарантийного фонда Хабаровского края, размещены в следующих банках (Таблица 1).</w:t>
      </w:r>
    </w:p>
    <w:p w:rsidR="00A06B25" w:rsidRPr="002B2D02" w:rsidRDefault="00A06B25" w:rsidP="00A06B25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2B2D02" w:rsidRPr="002B2D02" w:rsidRDefault="002B2D02" w:rsidP="00A06B25">
      <w:pPr>
        <w:spacing w:after="0" w:line="240" w:lineRule="auto"/>
        <w:ind w:firstLine="737"/>
        <w:jc w:val="right"/>
        <w:rPr>
          <w:rFonts w:ascii="Times New Roman" w:hAnsi="Times New Roman"/>
          <w:sz w:val="26"/>
          <w:szCs w:val="26"/>
        </w:rPr>
      </w:pPr>
      <w:r w:rsidRPr="002B2D02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342"/>
        <w:gridCol w:w="2835"/>
        <w:gridCol w:w="1701"/>
      </w:tblGrid>
      <w:tr w:rsidR="002B2D02" w:rsidRPr="002B2D02" w:rsidTr="002B2D0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02" w:rsidRPr="002B2D02" w:rsidRDefault="002B2D02" w:rsidP="00A06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02" w:rsidRPr="002B2D02" w:rsidRDefault="002B2D02" w:rsidP="00A06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депозита,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02" w:rsidRPr="002B2D02" w:rsidRDefault="002B2D02" w:rsidP="00A06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Ставка, %</w:t>
            </w:r>
          </w:p>
          <w:p w:rsidR="002B2D02" w:rsidRPr="002B2D02" w:rsidRDefault="002B2D02" w:rsidP="00A06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годовых</w:t>
            </w:r>
          </w:p>
        </w:tc>
      </w:tr>
      <w:tr w:rsidR="002B2D02" w:rsidRPr="002B2D02" w:rsidTr="002B2D0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ПАО «Промсвязьбанк»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2D02" w:rsidRPr="002B2D02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9,05</w:t>
            </w:r>
          </w:p>
        </w:tc>
      </w:tr>
      <w:tr w:rsidR="002B2D02" w:rsidRPr="002B2D02" w:rsidTr="002B2D0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7D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Банк ВТБ (ПАО)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7,63</w:t>
            </w:r>
          </w:p>
        </w:tc>
      </w:tr>
      <w:tr w:rsidR="002B2D02" w:rsidRPr="002B2D02" w:rsidTr="002B2D0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AA7DB5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A7D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АО «</w:t>
            </w:r>
            <w:proofErr w:type="spellStart"/>
            <w:r w:rsidRPr="00AA7D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Россельхозбанк</w:t>
            </w:r>
            <w:proofErr w:type="spellEnd"/>
            <w:r w:rsidRPr="00AA7D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2D02" w:rsidRPr="00AA7DB5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7D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34 427 230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2D02" w:rsidRPr="00AA7DB5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7D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8,00</w:t>
            </w:r>
          </w:p>
        </w:tc>
      </w:tr>
      <w:tr w:rsidR="002B2D02" w:rsidRPr="002B2D02" w:rsidTr="002B2D0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АО «</w:t>
            </w:r>
            <w:proofErr w:type="spellStart"/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Россельхозбанк</w:t>
            </w:r>
            <w:proofErr w:type="spellEnd"/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2D02" w:rsidRPr="002B2D02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8,05</w:t>
            </w:r>
          </w:p>
        </w:tc>
      </w:tr>
      <w:tr w:rsidR="002B2D02" w:rsidRPr="002B2D02" w:rsidTr="002B2D0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ПАО Банк</w:t>
            </w:r>
            <w:r w:rsidR="002B2D02"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«ФК Открытие»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2D02" w:rsidRPr="002B2D02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9,50</w:t>
            </w:r>
          </w:p>
        </w:tc>
      </w:tr>
      <w:tr w:rsidR="002B2D02" w:rsidRPr="002B2D02" w:rsidTr="002B2D0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7D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Банк ВТБ (ПАО)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2D02" w:rsidRPr="008166F3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38 687 730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2D02" w:rsidRPr="002B2D02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7,75</w:t>
            </w:r>
          </w:p>
        </w:tc>
      </w:tr>
      <w:tr w:rsidR="008166F3" w:rsidRPr="002B2D02" w:rsidTr="002B2D0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6F3" w:rsidRPr="002B2D02" w:rsidRDefault="008166F3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6F3" w:rsidRPr="002B2D02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ГПБ (АО)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66F3" w:rsidRPr="008166F3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3 880 000</w:t>
            </w:r>
          </w:p>
          <w:p w:rsidR="008166F3" w:rsidRPr="008166F3" w:rsidRDefault="008166F3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66F3" w:rsidRPr="002B2D02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7,15</w:t>
            </w:r>
          </w:p>
        </w:tc>
      </w:tr>
      <w:tr w:rsidR="00AA7DB5" w:rsidRPr="002B2D02" w:rsidTr="002B2D0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B5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B5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расчетные 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7DB5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7 587 510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7DB5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B2D02" w:rsidRPr="002B2D02" w:rsidTr="002B2D02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2D02" w:rsidRPr="008166F3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399 582 470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06B25" w:rsidRDefault="00A06B25" w:rsidP="00A06B25">
      <w:pPr>
        <w:spacing w:after="0" w:line="240" w:lineRule="auto"/>
        <w:ind w:firstLine="73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6B25" w:rsidRPr="00A06B25" w:rsidRDefault="00A06B25" w:rsidP="00A06B25">
      <w:pPr>
        <w:spacing w:after="0" w:line="240" w:lineRule="auto"/>
        <w:ind w:firstLine="73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5D8" w:rsidRPr="00A06B25" w:rsidRDefault="00427FDA" w:rsidP="00427FDA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 </w:t>
      </w:r>
      <w:r w:rsidR="007335D8" w:rsidRPr="00A06B25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организации сотрудничества с </w:t>
      </w:r>
      <w:r w:rsidR="00D27ED6" w:rsidRPr="00A06B25">
        <w:rPr>
          <w:rFonts w:ascii="Times New Roman" w:eastAsia="Times New Roman" w:hAnsi="Times New Roman"/>
          <w:b/>
          <w:bCs/>
          <w:sz w:val="28"/>
          <w:szCs w:val="28"/>
        </w:rPr>
        <w:t xml:space="preserve">финансовыми </w:t>
      </w:r>
      <w:r w:rsidR="007335D8" w:rsidRPr="00A06B25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организациями</w:t>
      </w:r>
      <w:bookmarkEnd w:id="6"/>
      <w:bookmarkEnd w:id="7"/>
      <w:bookmarkEnd w:id="8"/>
      <w:r w:rsidR="00002341" w:rsidRPr="00A06B25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A06B25" w:rsidRPr="00A06B25" w:rsidRDefault="00A06B25" w:rsidP="00A06B25">
      <w:pPr>
        <w:spacing w:after="0" w:line="240" w:lineRule="auto"/>
        <w:ind w:firstLine="73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4A01" w:rsidRPr="00A06B25" w:rsidRDefault="00966B15" w:rsidP="00A06B25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="00D10ED2" w:rsidRPr="00A06B25">
        <w:rPr>
          <w:rFonts w:ascii="Times New Roman" w:hAnsi="Times New Roman"/>
          <w:sz w:val="28"/>
          <w:szCs w:val="28"/>
        </w:rPr>
        <w:tab/>
      </w:r>
      <w:r w:rsidR="004B7B87" w:rsidRPr="00A06B25">
        <w:rPr>
          <w:rFonts w:ascii="Times New Roman" w:hAnsi="Times New Roman"/>
          <w:sz w:val="28"/>
          <w:szCs w:val="28"/>
        </w:rPr>
        <w:t xml:space="preserve">Отбор </w:t>
      </w:r>
      <w:r w:rsidR="00D27ED6" w:rsidRPr="00A06B25">
        <w:rPr>
          <w:rFonts w:ascii="Times New Roman" w:hAnsi="Times New Roman"/>
          <w:sz w:val="28"/>
          <w:szCs w:val="28"/>
        </w:rPr>
        <w:t>финансовых</w:t>
      </w:r>
      <w:r w:rsidR="004B7B87" w:rsidRPr="00A06B25">
        <w:rPr>
          <w:rFonts w:ascii="Times New Roman" w:hAnsi="Times New Roman"/>
          <w:sz w:val="28"/>
          <w:szCs w:val="28"/>
        </w:rPr>
        <w:t xml:space="preserve"> </w:t>
      </w:r>
      <w:r w:rsidR="00C029DE" w:rsidRPr="00A06B25">
        <w:rPr>
          <w:rFonts w:ascii="Times New Roman" w:hAnsi="Times New Roman"/>
          <w:sz w:val="28"/>
          <w:szCs w:val="28"/>
        </w:rPr>
        <w:t>организаций с целью заключения С</w:t>
      </w:r>
      <w:r w:rsidR="004B7B87" w:rsidRPr="00A06B25">
        <w:rPr>
          <w:rFonts w:ascii="Times New Roman" w:hAnsi="Times New Roman"/>
          <w:sz w:val="28"/>
          <w:szCs w:val="28"/>
        </w:rPr>
        <w:t xml:space="preserve">оглашений о сотрудничестве </w:t>
      </w:r>
      <w:r w:rsidR="00522603" w:rsidRPr="00A06B25">
        <w:rPr>
          <w:rFonts w:ascii="Times New Roman" w:hAnsi="Times New Roman"/>
          <w:sz w:val="28"/>
          <w:szCs w:val="28"/>
        </w:rPr>
        <w:t>осуществлялся</w:t>
      </w:r>
      <w:r w:rsidR="008E4A01" w:rsidRPr="00A06B25">
        <w:rPr>
          <w:rFonts w:ascii="Times New Roman" w:hAnsi="Times New Roman"/>
          <w:sz w:val="28"/>
          <w:szCs w:val="28"/>
        </w:rPr>
        <w:t xml:space="preserve"> </w:t>
      </w:r>
      <w:r w:rsidR="00C636B4" w:rsidRPr="00A06B25">
        <w:rPr>
          <w:rFonts w:ascii="Times New Roman" w:hAnsi="Times New Roman"/>
          <w:sz w:val="28"/>
          <w:szCs w:val="28"/>
        </w:rPr>
        <w:t xml:space="preserve">в соответствии с </w:t>
      </w:r>
      <w:r w:rsidR="00F360B6">
        <w:rPr>
          <w:rFonts w:ascii="Times New Roman" w:hAnsi="Times New Roman"/>
          <w:sz w:val="28"/>
          <w:szCs w:val="28"/>
        </w:rPr>
        <w:t>«</w:t>
      </w:r>
      <w:r w:rsidR="00BB47C7" w:rsidRPr="00A06B25">
        <w:rPr>
          <w:rFonts w:ascii="Times New Roman" w:hAnsi="Times New Roman"/>
          <w:sz w:val="28"/>
          <w:szCs w:val="28"/>
        </w:rPr>
        <w:t xml:space="preserve">Порядком отбора финансовых организаций, а также требования к ним и условия взаимодействия </w:t>
      </w:r>
      <w:r w:rsidR="008E4A01" w:rsidRPr="00A06B25">
        <w:rPr>
          <w:rFonts w:ascii="Times New Roman" w:hAnsi="Times New Roman"/>
          <w:bCs/>
          <w:sz w:val="28"/>
          <w:szCs w:val="28"/>
        </w:rPr>
        <w:t>Гарантийного фонда Хабаровского края</w:t>
      </w:r>
      <w:r w:rsidR="00BB47C7" w:rsidRPr="00A06B25">
        <w:rPr>
          <w:rFonts w:ascii="Times New Roman" w:hAnsi="Times New Roman"/>
          <w:bCs/>
          <w:sz w:val="28"/>
          <w:szCs w:val="28"/>
        </w:rPr>
        <w:t xml:space="preserve"> с ними при предоставлении поручительств</w:t>
      </w:r>
      <w:r w:rsidR="00F360B6">
        <w:rPr>
          <w:rFonts w:ascii="Times New Roman" w:hAnsi="Times New Roman"/>
          <w:bCs/>
          <w:sz w:val="28"/>
          <w:szCs w:val="28"/>
        </w:rPr>
        <w:t>»</w:t>
      </w:r>
      <w:r w:rsidR="008E4A01" w:rsidRPr="00A06B25">
        <w:rPr>
          <w:rFonts w:ascii="Times New Roman" w:hAnsi="Times New Roman"/>
          <w:bCs/>
          <w:sz w:val="28"/>
          <w:szCs w:val="28"/>
        </w:rPr>
        <w:t>.</w:t>
      </w:r>
    </w:p>
    <w:p w:rsidR="00063D51" w:rsidRPr="00A06B25" w:rsidRDefault="00634A1D" w:rsidP="00A06B2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A4818" w:rsidRPr="00A06B25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BB47C7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30333F">
        <w:rPr>
          <w:rFonts w:ascii="Times New Roman" w:eastAsia="Times New Roman" w:hAnsi="Times New Roman"/>
          <w:sz w:val="28"/>
          <w:szCs w:val="28"/>
          <w:lang w:eastAsia="ru-RU"/>
        </w:rPr>
        <w:t>Гарантийный</w:t>
      </w:r>
      <w:proofErr w:type="gramEnd"/>
      <w:r w:rsidR="0030333F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r w:rsidR="00BB47C7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</w:t>
      </w:r>
      <w:r w:rsidR="00063D51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6 заявлений финансовых организаций на участие в Программе предоставления поручительств Фонда.</w:t>
      </w:r>
    </w:p>
    <w:p w:rsidR="00634A1D" w:rsidRPr="00A06B25" w:rsidRDefault="00063D51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eastAsia="Times New Roman" w:hAnsi="Times New Roman"/>
          <w:sz w:val="28"/>
          <w:szCs w:val="28"/>
          <w:lang w:eastAsia="ru-RU"/>
        </w:rPr>
        <w:t>В число партнеров вошли: АО «МСП Банк», АО «ТКБ», АО «Универсальная лизинговая компания», Фонд развития моногородов.</w:t>
      </w:r>
    </w:p>
    <w:p w:rsidR="00F25BF5" w:rsidRPr="00A06B25" w:rsidRDefault="0030333F" w:rsidP="00A06B2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Исключены</w:t>
      </w:r>
      <w:r w:rsidR="00E416A1" w:rsidRPr="00A06B25">
        <w:rPr>
          <w:rFonts w:ascii="Times New Roman" w:hAnsi="Times New Roman"/>
          <w:sz w:val="28"/>
          <w:szCs w:val="28"/>
        </w:rPr>
        <w:t xml:space="preserve"> из </w:t>
      </w:r>
      <w:r w:rsidR="00F25BF5" w:rsidRPr="00A06B25">
        <w:rPr>
          <w:rFonts w:ascii="Times New Roman" w:hAnsi="Times New Roman"/>
          <w:sz w:val="28"/>
          <w:szCs w:val="28"/>
        </w:rPr>
        <w:t xml:space="preserve">числа </w:t>
      </w:r>
      <w:r w:rsidR="00522603" w:rsidRPr="00A06B25">
        <w:rPr>
          <w:rFonts w:ascii="Times New Roman" w:hAnsi="Times New Roman"/>
          <w:sz w:val="28"/>
          <w:szCs w:val="28"/>
        </w:rPr>
        <w:t>банков-партнеров</w:t>
      </w:r>
      <w:r w:rsidR="009973F1">
        <w:rPr>
          <w:rFonts w:ascii="Times New Roman" w:hAnsi="Times New Roman"/>
          <w:sz w:val="28"/>
          <w:szCs w:val="28"/>
        </w:rPr>
        <w:t>:</w:t>
      </w:r>
      <w:proofErr w:type="gramEnd"/>
      <w:r w:rsidR="00522603" w:rsidRPr="00A06B25">
        <w:rPr>
          <w:rFonts w:ascii="Times New Roman" w:hAnsi="Times New Roman"/>
          <w:sz w:val="28"/>
          <w:szCs w:val="28"/>
        </w:rPr>
        <w:t xml:space="preserve"> </w:t>
      </w:r>
      <w:r w:rsidR="00F430E5" w:rsidRPr="00A06B25">
        <w:rPr>
          <w:rFonts w:ascii="Times New Roman" w:hAnsi="Times New Roman"/>
          <w:sz w:val="28"/>
          <w:szCs w:val="28"/>
        </w:rPr>
        <w:t xml:space="preserve">АО «СКБ-Банк» и </w:t>
      </w:r>
      <w:r w:rsidR="00B17255" w:rsidRPr="00A06B25">
        <w:rPr>
          <w:rFonts w:ascii="Times New Roman" w:hAnsi="Times New Roman"/>
          <w:sz w:val="28"/>
          <w:szCs w:val="28"/>
        </w:rPr>
        <w:t>П</w:t>
      </w:r>
      <w:r w:rsidR="00F25BF5" w:rsidRPr="00A06B25">
        <w:rPr>
          <w:rFonts w:ascii="Times New Roman" w:hAnsi="Times New Roman"/>
          <w:sz w:val="28"/>
          <w:szCs w:val="28"/>
        </w:rPr>
        <w:t xml:space="preserve">АО «БИНБАНК». </w:t>
      </w:r>
    </w:p>
    <w:p w:rsidR="00C029DE" w:rsidRPr="00A06B25" w:rsidRDefault="00BB11FD" w:rsidP="00A06B2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П</w:t>
      </w:r>
      <w:r w:rsidR="007335D8" w:rsidRPr="00A06B25">
        <w:rPr>
          <w:rFonts w:ascii="Times New Roman" w:hAnsi="Times New Roman"/>
          <w:sz w:val="28"/>
          <w:szCs w:val="28"/>
        </w:rPr>
        <w:t>артнер</w:t>
      </w:r>
      <w:r w:rsidR="00C029DE" w:rsidRPr="00A06B25">
        <w:rPr>
          <w:rFonts w:ascii="Times New Roman" w:hAnsi="Times New Roman"/>
          <w:sz w:val="28"/>
          <w:szCs w:val="28"/>
        </w:rPr>
        <w:t>ами Гарантийного фонда являются</w:t>
      </w:r>
      <w:r w:rsidR="007335D8" w:rsidRPr="00A06B25">
        <w:rPr>
          <w:rFonts w:ascii="Times New Roman" w:hAnsi="Times New Roman"/>
          <w:sz w:val="28"/>
          <w:szCs w:val="28"/>
        </w:rPr>
        <w:t xml:space="preserve"> крупнейшие федеральные кредитные организации</w:t>
      </w:r>
      <w:r w:rsidR="00C029DE" w:rsidRPr="00A06B25">
        <w:rPr>
          <w:rFonts w:ascii="Times New Roman" w:hAnsi="Times New Roman"/>
          <w:sz w:val="28"/>
          <w:szCs w:val="28"/>
        </w:rPr>
        <w:t>,</w:t>
      </w:r>
      <w:r w:rsidR="004253DC" w:rsidRPr="00A06B25">
        <w:rPr>
          <w:rFonts w:ascii="Times New Roman" w:hAnsi="Times New Roman"/>
          <w:sz w:val="28"/>
          <w:szCs w:val="28"/>
        </w:rPr>
        <w:t xml:space="preserve"> </w:t>
      </w:r>
      <w:r w:rsidR="007335D8" w:rsidRPr="00A06B25">
        <w:rPr>
          <w:rFonts w:ascii="Times New Roman" w:hAnsi="Times New Roman"/>
          <w:sz w:val="28"/>
          <w:szCs w:val="28"/>
        </w:rPr>
        <w:t>региональные банки</w:t>
      </w:r>
      <w:r w:rsidR="00782E73" w:rsidRPr="00A06B25">
        <w:rPr>
          <w:rFonts w:ascii="Times New Roman" w:hAnsi="Times New Roman"/>
          <w:sz w:val="28"/>
          <w:szCs w:val="28"/>
        </w:rPr>
        <w:t>,</w:t>
      </w:r>
      <w:r w:rsidR="0030333F">
        <w:rPr>
          <w:rFonts w:ascii="Times New Roman" w:hAnsi="Times New Roman"/>
          <w:sz w:val="28"/>
          <w:szCs w:val="28"/>
        </w:rPr>
        <w:t xml:space="preserve"> институты поддержки,</w:t>
      </w:r>
      <w:r w:rsidR="00782E73" w:rsidRPr="00A06B25">
        <w:rPr>
          <w:rFonts w:ascii="Times New Roman" w:hAnsi="Times New Roman"/>
          <w:sz w:val="28"/>
          <w:szCs w:val="28"/>
        </w:rPr>
        <w:t xml:space="preserve"> </w:t>
      </w:r>
      <w:r w:rsidR="00C029DE" w:rsidRPr="00A06B25">
        <w:rPr>
          <w:rFonts w:ascii="Times New Roman" w:hAnsi="Times New Roman"/>
          <w:sz w:val="28"/>
          <w:szCs w:val="28"/>
        </w:rPr>
        <w:t>что способствует расширению возможности выбора кредитных продуктов, соответствующих потребностям и возможностям широкого круга субъектов малого и среднего предпринимательства региона.</w:t>
      </w:r>
    </w:p>
    <w:p w:rsidR="00C614EF" w:rsidRPr="00A06B25" w:rsidRDefault="00C614EF" w:rsidP="00A06B2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06B25" w:rsidRDefault="00A06B25" w:rsidP="00E65B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5BEC" w:rsidRPr="00A06B25" w:rsidRDefault="00BB11FD" w:rsidP="00E65B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lastRenderedPageBreak/>
        <w:t>Партне</w:t>
      </w:r>
      <w:r w:rsidR="001933AB" w:rsidRPr="00A06B25">
        <w:rPr>
          <w:rFonts w:ascii="Times New Roman" w:hAnsi="Times New Roman"/>
          <w:sz w:val="28"/>
          <w:szCs w:val="28"/>
        </w:rPr>
        <w:t>ры</w:t>
      </w:r>
      <w:r w:rsidR="00C029DE" w:rsidRPr="00A06B25">
        <w:rPr>
          <w:rFonts w:ascii="Times New Roman" w:hAnsi="Times New Roman"/>
          <w:sz w:val="28"/>
          <w:szCs w:val="28"/>
        </w:rPr>
        <w:t xml:space="preserve"> Фонда по состоянию на 01.01.201</w:t>
      </w:r>
      <w:r w:rsidR="009C7594" w:rsidRPr="00A06B25">
        <w:rPr>
          <w:rFonts w:ascii="Times New Roman" w:hAnsi="Times New Roman"/>
          <w:sz w:val="28"/>
          <w:szCs w:val="28"/>
        </w:rPr>
        <w:t xml:space="preserve">8 </w:t>
      </w:r>
      <w:r w:rsidR="001933AB" w:rsidRPr="00A06B25">
        <w:rPr>
          <w:rFonts w:ascii="Times New Roman" w:hAnsi="Times New Roman"/>
          <w:sz w:val="28"/>
          <w:szCs w:val="28"/>
        </w:rPr>
        <w:t>г.</w:t>
      </w:r>
      <w:r w:rsidR="00C029DE" w:rsidRPr="00A06B25">
        <w:rPr>
          <w:rFonts w:ascii="Times New Roman" w:hAnsi="Times New Roman"/>
          <w:sz w:val="28"/>
          <w:szCs w:val="28"/>
        </w:rPr>
        <w:t>:</w:t>
      </w:r>
    </w:p>
    <w:p w:rsidR="00E65BEC" w:rsidRPr="00E65BEC" w:rsidRDefault="00E65BEC" w:rsidP="00E65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-</w:t>
      </w:r>
      <w:r w:rsidRPr="00E65BEC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по кредитным договорам</w:t>
      </w:r>
      <w:r w:rsidR="007E6AEE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/договорам займа:</w:t>
      </w:r>
    </w:p>
    <w:tbl>
      <w:tblPr>
        <w:tblW w:w="12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029"/>
        <w:gridCol w:w="4003"/>
      </w:tblGrid>
      <w:tr w:rsidR="00E65BEC" w:rsidRPr="00E65BEC" w:rsidTr="00E65B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 </w:t>
            </w:r>
            <w:r w:rsidRPr="00E65BEC">
              <w:rPr>
                <w:rFonts w:ascii="Arial" w:eastAsia="Times New Roman" w:hAnsi="Arial" w:cs="Arial"/>
                <w:noProof/>
                <w:color w:val="006599"/>
                <w:sz w:val="18"/>
                <w:szCs w:val="18"/>
                <w:lang w:eastAsia="ru-RU"/>
              </w:rPr>
              <w:drawing>
                <wp:inline distT="0" distB="0" distL="0" distR="0" wp14:anchorId="64FBAA3E" wp14:editId="25BEE95D">
                  <wp:extent cx="2385695" cy="1033780"/>
                  <wp:effectExtent l="0" t="0" r="0" b="0"/>
                  <wp:docPr id="52" name="Рисунок 52" descr="um bank">
                    <a:hlinkClick xmlns:a="http://schemas.openxmlformats.org/drawingml/2006/main" r:id="rId10" tgtFrame="_blank" tooltip="УМ-Банк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um 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B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280B4A49" wp14:editId="542DA085">
                  <wp:extent cx="2385695" cy="1033780"/>
                  <wp:effectExtent l="0" t="0" r="0" b="0"/>
                  <wp:docPr id="53" name="Рисунок 53" descr="bank aeb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nk aeb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006599"/>
                <w:sz w:val="18"/>
                <w:szCs w:val="18"/>
                <w:lang w:eastAsia="ru-RU"/>
              </w:rPr>
              <w:drawing>
                <wp:inline distT="0" distB="0" distL="0" distR="0" wp14:anchorId="7573EB86" wp14:editId="7B1F7261">
                  <wp:extent cx="2385695" cy="1033780"/>
                  <wp:effectExtent l="0" t="0" r="0" b="0"/>
                  <wp:docPr id="54" name="Рисунок 54" descr="bank-dvb">
                    <a:hlinkClick xmlns:a="http://schemas.openxmlformats.org/drawingml/2006/main" r:id="rId14" tgtFrame="_blank" tooltip="ДВБ Дальневосточный Банк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nk-d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B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E65BEC" w:rsidRPr="00E65BEC" w:rsidTr="00E65B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006599"/>
                <w:sz w:val="18"/>
                <w:szCs w:val="18"/>
                <w:lang w:eastAsia="ru-RU"/>
              </w:rPr>
              <w:drawing>
                <wp:inline distT="0" distB="0" distL="0" distR="0" wp14:anchorId="0073F970" wp14:editId="7C34FD73">
                  <wp:extent cx="2385695" cy="1033780"/>
                  <wp:effectExtent l="0" t="0" r="0" b="0"/>
                  <wp:docPr id="55" name="Рисунок 55" descr="bank-vtb">
                    <a:hlinkClick xmlns:a="http://schemas.openxmlformats.org/drawingml/2006/main" r:id="rId16" tgtFrame="_blank" tooltip="ВТБ 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nk-vt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17EC14B9" wp14:editId="56E3CA75">
                  <wp:extent cx="2385695" cy="1033780"/>
                  <wp:effectExtent l="0" t="0" r="0" b="0"/>
                  <wp:docPr id="56" name="Рисунок 56" descr="bank-inteza">
                    <a:hlinkClick xmlns:a="http://schemas.openxmlformats.org/drawingml/2006/main" r:id="rId18" tgtFrame="&quot;_blank&quot;" tooltip="&quot;Банк ИНТЕЗ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nk-inteza">
                            <a:hlinkClick r:id="rId18" tgtFrame="&quot;_blank&quot;" tooltip="&quot;Банк ИНТЕЗ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7BDACEC1" wp14:editId="143AC3AB">
                  <wp:extent cx="2385695" cy="1033780"/>
                  <wp:effectExtent l="0" t="0" r="0" b="0"/>
                  <wp:docPr id="57" name="Рисунок 57" descr="mts-bank">
                    <a:hlinkClick xmlns:a="http://schemas.openxmlformats.org/drawingml/2006/main" r:id="rId20" tgtFrame="&quot;_blank&quot;" tooltip="&quot;МТС Бан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ts-bank">
                            <a:hlinkClick r:id="rId20" tgtFrame="&quot;_blank&quot;" tooltip="&quot;МТС Бан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BEC" w:rsidRPr="00E65BEC" w:rsidTr="00E65B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2D712CD9" wp14:editId="69D23D5F">
                  <wp:extent cx="2385695" cy="1033780"/>
                  <wp:effectExtent l="0" t="0" r="0" b="0"/>
                  <wp:docPr id="58" name="Рисунок 58" descr="fpmp partner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fpmp partner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41895CB9" wp14:editId="4DB6FEAC">
                  <wp:extent cx="2385695" cy="1033780"/>
                  <wp:effectExtent l="0" t="0" r="0" b="0"/>
                  <wp:docPr id="59" name="Рисунок 59" descr="msp bank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sp bank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0054E1AF" wp14:editId="536297D7">
                  <wp:extent cx="2385695" cy="1033780"/>
                  <wp:effectExtent l="0" t="0" r="0" b="0"/>
                  <wp:docPr id="60" name="Рисунок 60" descr="bank-otkrytie">
                    <a:hlinkClick xmlns:a="http://schemas.openxmlformats.org/drawingml/2006/main" r:id="rId26" tgtFrame="&quot;_blank&quot;" tooltip="&quot;Открыт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ank-otkrytie">
                            <a:hlinkClick r:id="rId26" tgtFrame="&quot;_blank&quot;" tooltip="&quot;Открыт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BEC" w:rsidRPr="00E65BEC" w:rsidTr="00E65B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FF6825"/>
                <w:sz w:val="18"/>
                <w:szCs w:val="18"/>
                <w:lang w:eastAsia="ru-RU"/>
              </w:rPr>
              <w:drawing>
                <wp:inline distT="0" distB="0" distL="0" distR="0" wp14:anchorId="086805D3" wp14:editId="19B4350A">
                  <wp:extent cx="2385695" cy="1033780"/>
                  <wp:effectExtent l="0" t="0" r="0" b="0"/>
                  <wp:docPr id="61" name="Рисунок 61" descr="royalkreditbank">
                    <a:hlinkClick xmlns:a="http://schemas.openxmlformats.org/drawingml/2006/main" r:id="rId28" tgtFrame="&quot;_blank&quot;" tooltip="&quot;Роял Кредит Бан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oyalkreditbank">
                            <a:hlinkClick r:id="rId28" tgtFrame="&quot;_blank&quot;" tooltip="&quot;Роял Кредит Бан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31637BC1" wp14:editId="508F5AA7">
                  <wp:extent cx="2385695" cy="1033780"/>
                  <wp:effectExtent l="0" t="0" r="0" b="0"/>
                  <wp:docPr id="62" name="Рисунок 62" descr="solid-bank">
                    <a:hlinkClick xmlns:a="http://schemas.openxmlformats.org/drawingml/2006/main" r:id="rId30" tgtFrame="&quot;_blank&quot;" tooltip="&quot;СОЛИД Бан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solid-bank">
                            <a:hlinkClick r:id="rId30" tgtFrame="&quot;_blank&quot;" tooltip="&quot;СОЛИД Бан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006599"/>
                <w:sz w:val="18"/>
                <w:szCs w:val="18"/>
                <w:lang w:eastAsia="ru-RU"/>
              </w:rPr>
              <w:drawing>
                <wp:inline distT="0" distB="0" distL="0" distR="0" wp14:anchorId="269593B5" wp14:editId="535054D4">
                  <wp:extent cx="2385695" cy="1033780"/>
                  <wp:effectExtent l="0" t="0" r="0" b="0"/>
                  <wp:docPr id="63" name="Рисунок 63" descr="rosselhozbank">
                    <a:hlinkClick xmlns:a="http://schemas.openxmlformats.org/drawingml/2006/main" r:id="rId32" tgtFrame="_blank" tooltip="Россельхозбанк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rosselhoz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B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E65BEC" w:rsidRPr="00E65BEC" w:rsidTr="00E65B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4BD32D32" wp14:editId="7F79AB61">
                  <wp:extent cx="2385695" cy="1033780"/>
                  <wp:effectExtent l="0" t="0" r="0" b="0"/>
                  <wp:docPr id="64" name="Рисунок 64" descr="brapital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rapital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79B0AEBB" wp14:editId="0A2C3DF0">
                  <wp:extent cx="2385695" cy="1033780"/>
                  <wp:effectExtent l="0" t="0" r="0" b="0"/>
                  <wp:docPr id="65" name="Рисунок 65" descr="promsvyazbank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promsvyazbank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006599"/>
                <w:sz w:val="18"/>
                <w:szCs w:val="18"/>
                <w:lang w:eastAsia="ru-RU"/>
              </w:rPr>
              <w:drawing>
                <wp:inline distT="0" distB="0" distL="0" distR="0" wp14:anchorId="5E50D95B" wp14:editId="5EAF6899">
                  <wp:extent cx="2385695" cy="1033780"/>
                  <wp:effectExtent l="0" t="0" r="0" b="0"/>
                  <wp:docPr id="66" name="Рисунок 66" descr="sberbank">
                    <a:hlinkClick xmlns:a="http://schemas.openxmlformats.org/drawingml/2006/main" r:id="rId38" tgtFrame="_blank" tooltip="Сбербанк России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sber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B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</w:t>
            </w:r>
          </w:p>
        </w:tc>
      </w:tr>
      <w:tr w:rsidR="00E65BEC" w:rsidRPr="00E65BEC" w:rsidTr="00E65B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0A4CAF0B" wp14:editId="3AE3FD55">
                  <wp:extent cx="2385695" cy="1033780"/>
                  <wp:effectExtent l="0" t="0" r="0" b="0"/>
                  <wp:docPr id="67" name="Рисунок 67" descr="bank-ussuri">
                    <a:hlinkClick xmlns:a="http://schemas.openxmlformats.org/drawingml/2006/main" r:id="rId40" tgtFrame="&quot;_blank&quot;" tooltip="&quot;Перейти на сайт Банка-Уссур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nk-ussuri">
                            <a:hlinkClick r:id="rId40" tgtFrame="&quot;_blank&quot;" tooltip="&quot;Перейти на сайт Банка-Уссур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577A7288" wp14:editId="0F889E48">
                  <wp:extent cx="2385695" cy="1033780"/>
                  <wp:effectExtent l="0" t="0" r="0" b="0"/>
                  <wp:docPr id="68" name="Рисунок 68" descr="bank-primsocbank-1">
                    <a:hlinkClick xmlns:a="http://schemas.openxmlformats.org/drawingml/2006/main" r:id="rId42" tgtFrame="&quot;_blank&quot;" tooltip="&quot;Перейти на сайт ПримСоцБан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ank-primsocbank-1">
                            <a:hlinkClick r:id="rId42" tgtFrame="&quot;_blank&quot;" tooltip="&quot;Перейти на сайт ПримСоцБан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072CDF97" wp14:editId="5F8A5681">
                  <wp:extent cx="2385695" cy="1033780"/>
                  <wp:effectExtent l="0" t="0" r="0" b="0"/>
                  <wp:docPr id="69" name="Рисунок 69" descr="atb partner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tb partner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BEC" w:rsidRPr="00E65BEC" w:rsidTr="00E65B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59258AF9" wp14:editId="105152D1">
                  <wp:extent cx="2385695" cy="1033780"/>
                  <wp:effectExtent l="0" t="0" r="0" b="0"/>
                  <wp:docPr id="70" name="Рисунок 70" descr="fond monogorodov logo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ond monogorodov logo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1AE2E608" wp14:editId="0D9F8D09">
                  <wp:extent cx="2465070" cy="1073150"/>
                  <wp:effectExtent l="0" t="0" r="0" b="0"/>
                  <wp:docPr id="71" name="Рисунок 71" descr="logo alfa bank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logo alfa bank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5B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E65BEC">
              <w:rPr>
                <w:rFonts w:ascii="Arial" w:eastAsia="Times New Roman" w:hAnsi="Arial" w:cs="Arial"/>
                <w:noProof/>
                <w:color w:val="153242"/>
                <w:sz w:val="18"/>
                <w:szCs w:val="18"/>
                <w:lang w:eastAsia="ru-RU"/>
              </w:rPr>
              <w:drawing>
                <wp:inline distT="0" distB="0" distL="0" distR="0" wp14:anchorId="3CF25ABA" wp14:editId="388F5DD9">
                  <wp:extent cx="2385695" cy="1033780"/>
                  <wp:effectExtent l="0" t="0" r="0" b="0"/>
                  <wp:docPr id="72" name="Рисунок 72" descr="tkb partner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kb partner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B25" w:rsidRDefault="00A06B25" w:rsidP="00E65BEC">
      <w:pPr>
        <w:shd w:val="clear" w:color="auto" w:fill="FFFFFF"/>
        <w:spacing w:after="240" w:line="833" w:lineRule="atLeas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A06B25" w:rsidRDefault="00A06B25" w:rsidP="00E65BEC">
      <w:pPr>
        <w:shd w:val="clear" w:color="auto" w:fill="FFFFFF"/>
        <w:spacing w:after="240" w:line="833" w:lineRule="atLeas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65BEC" w:rsidRPr="00E65BEC" w:rsidRDefault="00E65BEC" w:rsidP="00E65BEC">
      <w:pPr>
        <w:shd w:val="clear" w:color="auto" w:fill="FFFFFF"/>
        <w:spacing w:after="240" w:line="833" w:lineRule="atLeas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E65BEC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lastRenderedPageBreak/>
        <w:t>по договорам банковской гарантии</w:t>
      </w:r>
      <w:r w:rsidR="008D29A6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:</w:t>
      </w:r>
    </w:p>
    <w:tbl>
      <w:tblPr>
        <w:tblW w:w="12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4200"/>
        <w:gridCol w:w="4269"/>
      </w:tblGrid>
      <w:tr w:rsidR="00E65BEC" w:rsidRPr="00E65BEC" w:rsidTr="00E65B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lang w:eastAsia="ru-RU"/>
              </w:rPr>
              <w:drawing>
                <wp:inline distT="0" distB="0" distL="0" distR="0" wp14:anchorId="0523FD38" wp14:editId="50B60F5B">
                  <wp:extent cx="2385695" cy="1033780"/>
                  <wp:effectExtent l="0" t="0" r="0" b="0"/>
                  <wp:docPr id="73" name="Рисунок 73" descr="tkb partner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kb partner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lang w:eastAsia="ru-RU"/>
              </w:rPr>
              <w:drawing>
                <wp:inline distT="0" distB="0" distL="0" distR="0" wp14:anchorId="7377F0DE" wp14:editId="5B607A8B">
                  <wp:extent cx="2385695" cy="1033780"/>
                  <wp:effectExtent l="0" t="0" r="0" b="0"/>
                  <wp:docPr id="74" name="Рисунок 74" descr="bank-primsocbank-2">
                    <a:hlinkClick xmlns:a="http://schemas.openxmlformats.org/drawingml/2006/main" r:id="rId52" tgtFrame="&quot;_blank&quot;" tooltip="&quot;Перейти на сайт ПримСоцБан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bank-primsocbank-2">
                            <a:hlinkClick r:id="rId52" tgtFrame="&quot;_blank&quot;" tooltip="&quot;Перейти на сайт ПримСоцБан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lang w:eastAsia="ru-RU"/>
              </w:rPr>
              <w:drawing>
                <wp:inline distT="0" distB="0" distL="0" distR="0" wp14:anchorId="1F4A171E" wp14:editId="78658D99">
                  <wp:extent cx="2385695" cy="1033780"/>
                  <wp:effectExtent l="0" t="0" r="0" b="0"/>
                  <wp:docPr id="75" name="Рисунок 75" descr="bank-otkrytie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bank-otkrytie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BEC" w:rsidRPr="00E65BEC" w:rsidTr="00E65B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lang w:eastAsia="ru-RU"/>
              </w:rPr>
              <w:drawing>
                <wp:inline distT="0" distB="0" distL="0" distR="0" wp14:anchorId="6AF60D28" wp14:editId="7C63AAFE">
                  <wp:extent cx="2385695" cy="1033780"/>
                  <wp:effectExtent l="0" t="0" r="0" b="0"/>
                  <wp:docPr id="76" name="Рисунок 76" descr="atb partner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atb partner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FF6825"/>
                <w:lang w:eastAsia="ru-RU"/>
              </w:rPr>
              <w:drawing>
                <wp:inline distT="0" distB="0" distL="0" distR="0" wp14:anchorId="16A3CF08" wp14:editId="254A2A05">
                  <wp:extent cx="2385695" cy="1033780"/>
                  <wp:effectExtent l="0" t="0" r="0" b="0"/>
                  <wp:docPr id="77" name="Рисунок 77" descr="sberbank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sberbank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BEC">
              <w:rPr>
                <w:rFonts w:ascii="Arial" w:eastAsia="Times New Roman" w:hAnsi="Arial" w:cs="Arial"/>
                <w:color w:val="333333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6773DB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56" w:tgtFrame="_blank" w:history="1">
              <w:r w:rsidR="00E65BEC" w:rsidRPr="00E65BEC">
                <w:rPr>
                  <w:rFonts w:ascii="Arial" w:eastAsia="Times New Roman" w:hAnsi="Arial" w:cs="Arial"/>
                  <w:color w:val="153242"/>
                  <w:lang w:eastAsia="ru-RU"/>
                </w:rPr>
                <w:t> </w:t>
              </w:r>
              <w:r w:rsidR="00E65BEC" w:rsidRPr="00E65BEC">
                <w:rPr>
                  <w:rFonts w:ascii="Arial" w:eastAsia="Times New Roman" w:hAnsi="Arial" w:cs="Arial"/>
                  <w:noProof/>
                  <w:color w:val="153242"/>
                  <w:lang w:eastAsia="ru-RU"/>
                </w:rPr>
                <w:drawing>
                  <wp:inline distT="0" distB="0" distL="0" distR="0" wp14:anchorId="293AB991" wp14:editId="4CEDA88C">
                    <wp:extent cx="2385695" cy="1033780"/>
                    <wp:effectExtent l="0" t="0" r="0" b="0"/>
                    <wp:docPr id="78" name="Рисунок 78" descr="msp bank">
                      <a:hlinkClick xmlns:a="http://schemas.openxmlformats.org/drawingml/2006/main" r:id="rId5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4" descr="msp bank">
                              <a:hlinkClick r:id="rId5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5695" cy="1033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E65BEC" w:rsidRPr="00E65BEC" w:rsidTr="00E65B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lang w:eastAsia="ru-RU"/>
              </w:rPr>
              <w:drawing>
                <wp:inline distT="0" distB="0" distL="0" distR="0" wp14:anchorId="5467D787" wp14:editId="2EC439A0">
                  <wp:extent cx="2385695" cy="1033780"/>
                  <wp:effectExtent l="0" t="0" r="0" b="0"/>
                  <wp:docPr id="79" name="Рисунок 79" descr="rosselhozbank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rosselhozbank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lang w:eastAsia="ru-RU"/>
              </w:rPr>
              <w:drawing>
                <wp:inline distT="0" distB="0" distL="0" distR="0" wp14:anchorId="38E371F6" wp14:editId="0897C51C">
                  <wp:extent cx="2385695" cy="1033780"/>
                  <wp:effectExtent l="0" t="0" r="0" b="0"/>
                  <wp:docPr id="80" name="Рисунок 80" descr="bank aeb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bank aeb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65BEC" w:rsidRPr="00E65BEC" w:rsidRDefault="00E65BEC" w:rsidP="00E65BEC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65BEC">
              <w:rPr>
                <w:rFonts w:ascii="Arial" w:eastAsia="Times New Roman" w:hAnsi="Arial" w:cs="Arial"/>
                <w:noProof/>
                <w:color w:val="153242"/>
                <w:lang w:eastAsia="ru-RU"/>
              </w:rPr>
              <w:drawing>
                <wp:inline distT="0" distB="0" distL="0" distR="0" wp14:anchorId="41717560" wp14:editId="38B0B22D">
                  <wp:extent cx="2465070" cy="1073150"/>
                  <wp:effectExtent l="0" t="0" r="0" b="0"/>
                  <wp:docPr id="81" name="Рисунок 81" descr="logo alfa bank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logo alfa bank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9A6" w:rsidRPr="008D29A6" w:rsidRDefault="008D29A6" w:rsidP="008D29A6">
      <w:pPr>
        <w:shd w:val="clear" w:color="auto" w:fill="FFFFFF"/>
        <w:spacing w:after="240" w:line="833" w:lineRule="atLeas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8D29A6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по договорам лизинга (финансовой аренды)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</w:tblGrid>
      <w:tr w:rsidR="008D29A6" w:rsidRPr="008D29A6" w:rsidTr="008D29A6">
        <w:tc>
          <w:tcPr>
            <w:tcW w:w="0" w:type="auto"/>
            <w:shd w:val="clear" w:color="auto" w:fill="FFFFFF"/>
            <w:vAlign w:val="center"/>
            <w:hideMark/>
          </w:tcPr>
          <w:p w:rsidR="008D29A6" w:rsidRPr="008D29A6" w:rsidRDefault="008D29A6" w:rsidP="008D29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ru-RU"/>
              </w:rPr>
            </w:pPr>
            <w:r w:rsidRPr="008D29A6">
              <w:rPr>
                <w:rFonts w:ascii="Segoe UI" w:eastAsia="Times New Roman" w:hAnsi="Segoe UI" w:cs="Segoe UI"/>
                <w:noProof/>
                <w:color w:val="FF6825"/>
                <w:sz w:val="23"/>
                <w:szCs w:val="23"/>
                <w:lang w:eastAsia="ru-RU"/>
              </w:rPr>
              <w:drawing>
                <wp:inline distT="0" distB="0" distL="0" distR="0" wp14:anchorId="142B9FD0" wp14:editId="689EA4E2">
                  <wp:extent cx="2385695" cy="1033780"/>
                  <wp:effectExtent l="0" t="0" r="0" b="0"/>
                  <wp:docPr id="82" name="Рисунок 82" descr="ULK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ULK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FDA" w:rsidRDefault="00427FDA" w:rsidP="00427FDA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6"/>
          <w:szCs w:val="26"/>
        </w:rPr>
      </w:pPr>
      <w:bookmarkStart w:id="9" w:name="_Toc329858098"/>
      <w:bookmarkStart w:id="10" w:name="_Toc329858466"/>
      <w:bookmarkStart w:id="11" w:name="_Toc329858615"/>
    </w:p>
    <w:p w:rsidR="00AC2233" w:rsidRPr="004253DC" w:rsidRDefault="00427FDA" w:rsidP="00427FDA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="00AC2233" w:rsidRPr="00AE4039">
        <w:rPr>
          <w:rFonts w:ascii="Times New Roman" w:eastAsia="Times New Roman" w:hAnsi="Times New Roman"/>
          <w:b/>
          <w:bCs/>
          <w:sz w:val="26"/>
          <w:szCs w:val="26"/>
        </w:rPr>
        <w:t>Портфель предоставленных поручительств</w:t>
      </w:r>
      <w:bookmarkEnd w:id="9"/>
      <w:bookmarkEnd w:id="10"/>
      <w:bookmarkEnd w:id="11"/>
      <w:r w:rsidR="00002341">
        <w:rPr>
          <w:rFonts w:ascii="Times New Roman" w:eastAsia="Times New Roman" w:hAnsi="Times New Roman"/>
          <w:b/>
          <w:bCs/>
          <w:sz w:val="26"/>
          <w:szCs w:val="26"/>
        </w:rPr>
        <w:t>.</w:t>
      </w:r>
    </w:p>
    <w:p w:rsidR="004253DC" w:rsidRPr="00AE4039" w:rsidRDefault="004253DC" w:rsidP="004253DC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6"/>
          <w:szCs w:val="26"/>
        </w:rPr>
      </w:pPr>
    </w:p>
    <w:p w:rsidR="007335D8" w:rsidRPr="00CD24F9" w:rsidRDefault="007335D8" w:rsidP="004253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4F9">
        <w:rPr>
          <w:rFonts w:ascii="Times New Roman" w:hAnsi="Times New Roman"/>
          <w:sz w:val="28"/>
          <w:szCs w:val="28"/>
        </w:rPr>
        <w:t>Гарантийный</w:t>
      </w:r>
      <w:proofErr w:type="gramEnd"/>
      <w:r w:rsidRPr="00CD24F9">
        <w:rPr>
          <w:rFonts w:ascii="Times New Roman" w:hAnsi="Times New Roman"/>
          <w:sz w:val="28"/>
          <w:szCs w:val="28"/>
        </w:rPr>
        <w:t xml:space="preserve"> фонд предоставляет поручительства по </w:t>
      </w:r>
      <w:r w:rsidR="00742A3D" w:rsidRPr="00CD24F9">
        <w:rPr>
          <w:rFonts w:ascii="Times New Roman" w:hAnsi="Times New Roman"/>
          <w:sz w:val="28"/>
          <w:szCs w:val="28"/>
        </w:rPr>
        <w:t xml:space="preserve">обязательствам  субъектов малого и среднего предпринимательства и инфраструктуры поддержки субъектов малого и среднего предпринимательства основанных на </w:t>
      </w:r>
      <w:r w:rsidR="00797EA2" w:rsidRPr="00CD24F9">
        <w:rPr>
          <w:rFonts w:ascii="Times New Roman" w:hAnsi="Times New Roman"/>
          <w:sz w:val="28"/>
          <w:szCs w:val="28"/>
        </w:rPr>
        <w:t>кредитны</w:t>
      </w:r>
      <w:r w:rsidR="00742A3D" w:rsidRPr="00CD24F9">
        <w:rPr>
          <w:rFonts w:ascii="Times New Roman" w:hAnsi="Times New Roman"/>
          <w:sz w:val="28"/>
          <w:szCs w:val="28"/>
        </w:rPr>
        <w:t>х договорах, договорах</w:t>
      </w:r>
      <w:r w:rsidR="00797EA2" w:rsidRPr="00CD24F9">
        <w:rPr>
          <w:rFonts w:ascii="Times New Roman" w:hAnsi="Times New Roman"/>
          <w:sz w:val="28"/>
          <w:szCs w:val="28"/>
        </w:rPr>
        <w:t xml:space="preserve"> о предоставлени</w:t>
      </w:r>
      <w:r w:rsidR="00742A3D" w:rsidRPr="00CD24F9">
        <w:rPr>
          <w:rFonts w:ascii="Times New Roman" w:hAnsi="Times New Roman"/>
          <w:sz w:val="28"/>
          <w:szCs w:val="28"/>
        </w:rPr>
        <w:t>и банковской гарантии, договорах</w:t>
      </w:r>
      <w:r w:rsidR="00797EA2" w:rsidRPr="00CD24F9">
        <w:rPr>
          <w:rFonts w:ascii="Times New Roman" w:hAnsi="Times New Roman"/>
          <w:sz w:val="28"/>
          <w:szCs w:val="28"/>
        </w:rPr>
        <w:t xml:space="preserve"> займа</w:t>
      </w:r>
      <w:r w:rsidR="00742A3D" w:rsidRPr="00CD24F9">
        <w:rPr>
          <w:rFonts w:ascii="Times New Roman" w:hAnsi="Times New Roman"/>
          <w:sz w:val="28"/>
          <w:szCs w:val="28"/>
        </w:rPr>
        <w:t>, договорах лизинга</w:t>
      </w:r>
      <w:r w:rsidR="00797EA2" w:rsidRPr="00CD24F9">
        <w:rPr>
          <w:rFonts w:ascii="Times New Roman" w:hAnsi="Times New Roman"/>
          <w:sz w:val="28"/>
          <w:szCs w:val="28"/>
        </w:rPr>
        <w:t xml:space="preserve"> </w:t>
      </w:r>
      <w:r w:rsidRPr="00CD24F9">
        <w:rPr>
          <w:rFonts w:ascii="Times New Roman" w:hAnsi="Times New Roman"/>
          <w:sz w:val="28"/>
          <w:szCs w:val="28"/>
        </w:rPr>
        <w:t xml:space="preserve">перед </w:t>
      </w:r>
      <w:r w:rsidR="00BB11FD" w:rsidRPr="00CD24F9">
        <w:rPr>
          <w:rFonts w:ascii="Times New Roman" w:hAnsi="Times New Roman"/>
          <w:sz w:val="28"/>
          <w:szCs w:val="28"/>
        </w:rPr>
        <w:t>финансовыми организациями</w:t>
      </w:r>
      <w:r w:rsidRPr="00CD24F9">
        <w:rPr>
          <w:rFonts w:ascii="Times New Roman" w:hAnsi="Times New Roman"/>
          <w:sz w:val="28"/>
          <w:szCs w:val="28"/>
        </w:rPr>
        <w:t xml:space="preserve">, с которыми заключены </w:t>
      </w:r>
      <w:r w:rsidR="004253DC" w:rsidRPr="00CD24F9">
        <w:rPr>
          <w:rFonts w:ascii="Times New Roman" w:hAnsi="Times New Roman"/>
          <w:sz w:val="28"/>
          <w:szCs w:val="28"/>
        </w:rPr>
        <w:t>С</w:t>
      </w:r>
      <w:r w:rsidRPr="00CD24F9">
        <w:rPr>
          <w:rFonts w:ascii="Times New Roman" w:hAnsi="Times New Roman"/>
          <w:sz w:val="28"/>
          <w:szCs w:val="28"/>
        </w:rPr>
        <w:t xml:space="preserve">оглашения о сотрудничестве. </w:t>
      </w:r>
    </w:p>
    <w:p w:rsidR="00395E5C" w:rsidRPr="00CD24F9" w:rsidRDefault="00C404F3" w:rsidP="004253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D24F9">
        <w:rPr>
          <w:rFonts w:ascii="Times New Roman" w:hAnsi="Times New Roman"/>
          <w:sz w:val="28"/>
          <w:szCs w:val="28"/>
        </w:rPr>
        <w:t>По состоянию</w:t>
      </w:r>
      <w:r w:rsidR="00D70107" w:rsidRPr="00CD24F9">
        <w:rPr>
          <w:rFonts w:ascii="Times New Roman" w:hAnsi="Times New Roman"/>
          <w:sz w:val="28"/>
          <w:szCs w:val="28"/>
        </w:rPr>
        <w:t xml:space="preserve"> на 01.01.201</w:t>
      </w:r>
      <w:r w:rsidR="00742A3D" w:rsidRPr="00CD24F9">
        <w:rPr>
          <w:rFonts w:ascii="Times New Roman" w:hAnsi="Times New Roman"/>
          <w:sz w:val="28"/>
          <w:szCs w:val="28"/>
        </w:rPr>
        <w:t>8</w:t>
      </w:r>
      <w:r w:rsidR="00D70107" w:rsidRPr="00CD24F9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D70107" w:rsidRPr="00CD24F9">
        <w:rPr>
          <w:rFonts w:ascii="Times New Roman" w:hAnsi="Times New Roman"/>
          <w:sz w:val="28"/>
          <w:szCs w:val="28"/>
        </w:rPr>
        <w:t>Гарантийный</w:t>
      </w:r>
      <w:proofErr w:type="gramEnd"/>
      <w:r w:rsidR="00D70107" w:rsidRPr="00CD24F9">
        <w:rPr>
          <w:rFonts w:ascii="Times New Roman" w:hAnsi="Times New Roman"/>
          <w:sz w:val="28"/>
          <w:szCs w:val="28"/>
        </w:rPr>
        <w:t xml:space="preserve"> фонд предоставил</w:t>
      </w:r>
      <w:r w:rsidR="00DB7DFE" w:rsidRPr="00CD24F9">
        <w:rPr>
          <w:rFonts w:ascii="Times New Roman" w:hAnsi="Times New Roman"/>
          <w:sz w:val="28"/>
          <w:szCs w:val="28"/>
        </w:rPr>
        <w:t xml:space="preserve"> </w:t>
      </w:r>
      <w:r w:rsidR="00BB11FD" w:rsidRPr="00CD24F9">
        <w:rPr>
          <w:rFonts w:ascii="Times New Roman" w:hAnsi="Times New Roman"/>
          <w:sz w:val="28"/>
          <w:szCs w:val="28"/>
        </w:rPr>
        <w:t>4</w:t>
      </w:r>
      <w:r w:rsidR="00742A3D" w:rsidRPr="00CD24F9">
        <w:rPr>
          <w:rFonts w:ascii="Times New Roman" w:hAnsi="Times New Roman"/>
          <w:sz w:val="28"/>
          <w:szCs w:val="28"/>
        </w:rPr>
        <w:t>70</w:t>
      </w:r>
      <w:r w:rsidR="00BB11FD" w:rsidRPr="00CD24F9">
        <w:rPr>
          <w:rFonts w:ascii="Times New Roman" w:hAnsi="Times New Roman"/>
          <w:sz w:val="28"/>
          <w:szCs w:val="28"/>
        </w:rPr>
        <w:t xml:space="preserve"> </w:t>
      </w:r>
      <w:r w:rsidR="00DB7DFE" w:rsidRPr="00CD24F9">
        <w:rPr>
          <w:rFonts w:ascii="Times New Roman" w:hAnsi="Times New Roman"/>
          <w:sz w:val="28"/>
          <w:szCs w:val="28"/>
        </w:rPr>
        <w:t xml:space="preserve">поручительств на сумму </w:t>
      </w:r>
      <w:r w:rsidR="00216F28" w:rsidRPr="00CD24F9">
        <w:rPr>
          <w:rFonts w:ascii="Times New Roman" w:hAnsi="Times New Roman"/>
          <w:sz w:val="28"/>
          <w:szCs w:val="28"/>
        </w:rPr>
        <w:t>1 млрд.</w:t>
      </w:r>
      <w:r w:rsidR="00395E5C" w:rsidRPr="00CD24F9">
        <w:rPr>
          <w:rFonts w:ascii="Times New Roman" w:hAnsi="Times New Roman"/>
          <w:sz w:val="28"/>
          <w:szCs w:val="28"/>
        </w:rPr>
        <w:t xml:space="preserve"> </w:t>
      </w:r>
      <w:r w:rsidR="00742A3D" w:rsidRPr="00CD24F9">
        <w:rPr>
          <w:rFonts w:ascii="Times New Roman" w:hAnsi="Times New Roman"/>
          <w:sz w:val="28"/>
          <w:szCs w:val="28"/>
        </w:rPr>
        <w:t>961</w:t>
      </w:r>
      <w:r w:rsidR="00216F28" w:rsidRPr="00CD24F9">
        <w:rPr>
          <w:rFonts w:ascii="Times New Roman" w:hAnsi="Times New Roman"/>
          <w:sz w:val="28"/>
          <w:szCs w:val="28"/>
        </w:rPr>
        <w:t xml:space="preserve"> млн. </w:t>
      </w:r>
      <w:r w:rsidR="00395E5C" w:rsidRPr="00CD24F9">
        <w:rPr>
          <w:rFonts w:ascii="Times New Roman" w:hAnsi="Times New Roman"/>
          <w:sz w:val="28"/>
          <w:szCs w:val="28"/>
        </w:rPr>
        <w:t>рублей</w:t>
      </w:r>
      <w:r w:rsidR="00D70107" w:rsidRPr="00CD24F9">
        <w:rPr>
          <w:rFonts w:ascii="Times New Roman" w:hAnsi="Times New Roman"/>
          <w:sz w:val="28"/>
          <w:szCs w:val="28"/>
        </w:rPr>
        <w:t>, что позволило привлечь субъектам малого и среднего предпринимательства Ха</w:t>
      </w:r>
      <w:r w:rsidR="00395E5C" w:rsidRPr="00CD24F9">
        <w:rPr>
          <w:rFonts w:ascii="Times New Roman" w:hAnsi="Times New Roman"/>
          <w:sz w:val="28"/>
          <w:szCs w:val="28"/>
        </w:rPr>
        <w:t>баро</w:t>
      </w:r>
      <w:r w:rsidR="007B1EE8">
        <w:rPr>
          <w:rFonts w:ascii="Times New Roman" w:hAnsi="Times New Roman"/>
          <w:sz w:val="28"/>
          <w:szCs w:val="28"/>
        </w:rPr>
        <w:t>вского края финансовых ресурсов</w:t>
      </w:r>
      <w:r w:rsidR="00395E5C" w:rsidRPr="00CD24F9">
        <w:rPr>
          <w:rFonts w:ascii="Times New Roman" w:hAnsi="Times New Roman"/>
          <w:sz w:val="28"/>
          <w:szCs w:val="28"/>
        </w:rPr>
        <w:t xml:space="preserve"> </w:t>
      </w:r>
      <w:r w:rsidR="00DB7DFE" w:rsidRPr="00CD24F9">
        <w:rPr>
          <w:rFonts w:ascii="Times New Roman" w:hAnsi="Times New Roman"/>
          <w:sz w:val="28"/>
          <w:szCs w:val="28"/>
        </w:rPr>
        <w:t xml:space="preserve">в размере </w:t>
      </w:r>
      <w:r w:rsidR="00742A3D" w:rsidRPr="00CD24F9">
        <w:rPr>
          <w:rFonts w:ascii="Times New Roman" w:hAnsi="Times New Roman"/>
          <w:sz w:val="28"/>
          <w:szCs w:val="28"/>
        </w:rPr>
        <w:t>4</w:t>
      </w:r>
      <w:r w:rsidR="00395E5C" w:rsidRPr="00CD24F9">
        <w:rPr>
          <w:rFonts w:ascii="Times New Roman" w:hAnsi="Times New Roman"/>
          <w:sz w:val="28"/>
          <w:szCs w:val="28"/>
        </w:rPr>
        <w:t xml:space="preserve"> млрд. </w:t>
      </w:r>
      <w:r w:rsidR="00742A3D" w:rsidRPr="00CD24F9">
        <w:rPr>
          <w:rFonts w:ascii="Times New Roman" w:hAnsi="Times New Roman"/>
          <w:sz w:val="28"/>
          <w:szCs w:val="28"/>
        </w:rPr>
        <w:t>415</w:t>
      </w:r>
      <w:r w:rsidR="007B1EE8">
        <w:rPr>
          <w:rFonts w:ascii="Times New Roman" w:hAnsi="Times New Roman"/>
          <w:sz w:val="28"/>
          <w:szCs w:val="28"/>
        </w:rPr>
        <w:t xml:space="preserve"> </w:t>
      </w:r>
      <w:r w:rsidR="00395E5C" w:rsidRPr="00CD24F9">
        <w:rPr>
          <w:rFonts w:ascii="Times New Roman" w:hAnsi="Times New Roman"/>
          <w:sz w:val="28"/>
          <w:szCs w:val="28"/>
        </w:rPr>
        <w:t>млн. рублей.</w:t>
      </w:r>
      <w:r w:rsidR="000728BF" w:rsidRPr="00CD24F9">
        <w:rPr>
          <w:rFonts w:ascii="Times New Roman" w:hAnsi="Times New Roman"/>
          <w:sz w:val="28"/>
          <w:szCs w:val="28"/>
        </w:rPr>
        <w:t xml:space="preserve"> </w:t>
      </w:r>
      <w:r w:rsidR="000728BF" w:rsidRPr="00321678">
        <w:rPr>
          <w:rFonts w:ascii="Times New Roman" w:hAnsi="Times New Roman"/>
          <w:sz w:val="28"/>
          <w:szCs w:val="28"/>
        </w:rPr>
        <w:t xml:space="preserve">Из них на инвестиционные цели </w:t>
      </w:r>
      <w:r w:rsidR="008E4A01" w:rsidRPr="00321678">
        <w:rPr>
          <w:rFonts w:ascii="Times New Roman" w:hAnsi="Times New Roman"/>
          <w:sz w:val="28"/>
          <w:szCs w:val="28"/>
        </w:rPr>
        <w:t xml:space="preserve">было направлено </w:t>
      </w:r>
      <w:r w:rsidR="00321678" w:rsidRPr="00321678">
        <w:rPr>
          <w:rFonts w:ascii="Times New Roman" w:hAnsi="Times New Roman"/>
          <w:sz w:val="28"/>
          <w:szCs w:val="28"/>
        </w:rPr>
        <w:t>2</w:t>
      </w:r>
      <w:r w:rsidR="00985040" w:rsidRPr="00321678">
        <w:rPr>
          <w:rFonts w:ascii="Times New Roman" w:hAnsi="Times New Roman"/>
          <w:sz w:val="28"/>
          <w:szCs w:val="28"/>
        </w:rPr>
        <w:t xml:space="preserve"> млрд. </w:t>
      </w:r>
      <w:r w:rsidR="00321678" w:rsidRPr="00321678">
        <w:rPr>
          <w:rFonts w:ascii="Times New Roman" w:hAnsi="Times New Roman"/>
          <w:sz w:val="28"/>
          <w:szCs w:val="28"/>
        </w:rPr>
        <w:t>150</w:t>
      </w:r>
      <w:r w:rsidR="00216F28" w:rsidRPr="00321678">
        <w:rPr>
          <w:rFonts w:ascii="Times New Roman" w:hAnsi="Times New Roman"/>
          <w:sz w:val="28"/>
          <w:szCs w:val="28"/>
        </w:rPr>
        <w:t xml:space="preserve"> </w:t>
      </w:r>
      <w:r w:rsidR="000728BF" w:rsidRPr="00321678">
        <w:rPr>
          <w:rFonts w:ascii="Times New Roman" w:hAnsi="Times New Roman"/>
          <w:sz w:val="28"/>
          <w:szCs w:val="28"/>
        </w:rPr>
        <w:t>млн</w:t>
      </w:r>
      <w:r w:rsidR="000728BF" w:rsidRPr="00321678">
        <w:rPr>
          <w:rFonts w:ascii="Times New Roman" w:hAnsi="Times New Roman"/>
          <w:color w:val="FF0000"/>
          <w:sz w:val="28"/>
          <w:szCs w:val="28"/>
        </w:rPr>
        <w:t>.</w:t>
      </w:r>
      <w:r w:rsidR="000728BF" w:rsidRPr="00321678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321678" w:rsidRPr="00321678">
        <w:rPr>
          <w:rFonts w:ascii="Times New Roman" w:hAnsi="Times New Roman"/>
          <w:sz w:val="28"/>
          <w:szCs w:val="28"/>
        </w:rPr>
        <w:t>48,7</w:t>
      </w:r>
      <w:r w:rsidR="000728BF" w:rsidRPr="00321678">
        <w:rPr>
          <w:rFonts w:ascii="Times New Roman" w:hAnsi="Times New Roman"/>
          <w:sz w:val="28"/>
          <w:szCs w:val="28"/>
        </w:rPr>
        <w:t xml:space="preserve">% от общего объема </w:t>
      </w:r>
      <w:r w:rsidR="00321678" w:rsidRPr="00321678">
        <w:rPr>
          <w:rFonts w:ascii="Times New Roman" w:hAnsi="Times New Roman"/>
          <w:sz w:val="28"/>
          <w:szCs w:val="28"/>
        </w:rPr>
        <w:t>финансирования привлеченного под поручительство Гарантийного фонда</w:t>
      </w:r>
      <w:r w:rsidR="000728BF" w:rsidRPr="00321678">
        <w:rPr>
          <w:rFonts w:ascii="Times New Roman" w:hAnsi="Times New Roman"/>
          <w:sz w:val="28"/>
          <w:szCs w:val="28"/>
        </w:rPr>
        <w:t>.</w:t>
      </w:r>
    </w:p>
    <w:p w:rsidR="000D7D60" w:rsidRPr="000C3E8C" w:rsidRDefault="00F91702" w:rsidP="000D7D60">
      <w:pPr>
        <w:pStyle w:val="a3"/>
        <w:spacing w:before="120"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3E8C">
        <w:rPr>
          <w:rFonts w:ascii="Times New Roman" w:hAnsi="Times New Roman"/>
          <w:sz w:val="28"/>
          <w:szCs w:val="28"/>
        </w:rPr>
        <w:lastRenderedPageBreak/>
        <w:t xml:space="preserve">Показатели </w:t>
      </w:r>
      <w:r w:rsidR="000D7D60" w:rsidRPr="000C3E8C">
        <w:rPr>
          <w:rFonts w:ascii="Times New Roman" w:hAnsi="Times New Roman"/>
          <w:sz w:val="28"/>
          <w:szCs w:val="28"/>
        </w:rPr>
        <w:t xml:space="preserve">деятельности Гарантийного фонда Хабаровского </w:t>
      </w:r>
      <w:r w:rsidR="00DD2D59" w:rsidRPr="000C3E8C">
        <w:rPr>
          <w:rFonts w:ascii="Times New Roman" w:hAnsi="Times New Roman"/>
          <w:sz w:val="28"/>
          <w:szCs w:val="28"/>
        </w:rPr>
        <w:t xml:space="preserve">за </w:t>
      </w:r>
      <w:r w:rsidR="000A4818" w:rsidRPr="000C3E8C">
        <w:rPr>
          <w:rFonts w:ascii="Times New Roman" w:hAnsi="Times New Roman"/>
          <w:sz w:val="28"/>
          <w:szCs w:val="28"/>
        </w:rPr>
        <w:t>2017</w:t>
      </w:r>
      <w:r w:rsidR="00DD2D59" w:rsidRPr="000C3E8C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="000D7D60" w:rsidRPr="000C3E8C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="000D7D60" w:rsidRPr="000C3E8C">
        <w:rPr>
          <w:rFonts w:ascii="Times New Roman" w:hAnsi="Times New Roman"/>
          <w:sz w:val="28"/>
          <w:szCs w:val="28"/>
        </w:rPr>
        <w:t xml:space="preserve"> в таблице №2.</w:t>
      </w:r>
    </w:p>
    <w:p w:rsidR="000D7D60" w:rsidRPr="000D7D60" w:rsidRDefault="000D7D60" w:rsidP="000D7D60">
      <w:pPr>
        <w:spacing w:before="120"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0D7D60">
        <w:rPr>
          <w:rFonts w:ascii="Times New Roman" w:hAnsi="Times New Roman"/>
          <w:sz w:val="26"/>
          <w:szCs w:val="26"/>
        </w:rPr>
        <w:t xml:space="preserve">    Таблица</w:t>
      </w:r>
      <w:r>
        <w:rPr>
          <w:rFonts w:ascii="Times New Roman" w:hAnsi="Times New Roman"/>
          <w:sz w:val="26"/>
          <w:szCs w:val="26"/>
        </w:rPr>
        <w:t xml:space="preserve"> 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843"/>
      </w:tblGrid>
      <w:tr w:rsidR="00F91702" w:rsidRPr="000D7D60" w:rsidTr="00F91702">
        <w:trPr>
          <w:trHeight w:val="515"/>
        </w:trPr>
        <w:tc>
          <w:tcPr>
            <w:tcW w:w="534" w:type="dxa"/>
            <w:vAlign w:val="center"/>
          </w:tcPr>
          <w:p w:rsidR="00F91702" w:rsidRPr="000D7D60" w:rsidRDefault="00F91702" w:rsidP="0002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0D7D60" w:rsidRDefault="00F91702" w:rsidP="00022363">
            <w:pPr>
              <w:spacing w:before="120" w:after="0" w:line="240" w:lineRule="auto"/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7D60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</w:tcPr>
          <w:p w:rsidR="00F91702" w:rsidRPr="000D7D60" w:rsidRDefault="000A4818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tabs>
                <w:tab w:val="left" w:pos="195"/>
              </w:tabs>
              <w:spacing w:before="120" w:after="0" w:line="240" w:lineRule="auto"/>
              <w:ind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Капитализация, тыс. руб.</w:t>
            </w:r>
          </w:p>
        </w:tc>
        <w:tc>
          <w:tcPr>
            <w:tcW w:w="1843" w:type="dxa"/>
            <w:vAlign w:val="center"/>
          </w:tcPr>
          <w:p w:rsidR="00A12EAA" w:rsidRPr="00DD2D59" w:rsidRDefault="00ED24AD" w:rsidP="00A12EAA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393 300</w:t>
            </w:r>
          </w:p>
        </w:tc>
      </w:tr>
      <w:tr w:rsidR="00F91702" w:rsidRPr="000D7D60" w:rsidTr="00022363">
        <w:trPr>
          <w:trHeight w:val="666"/>
        </w:trPr>
        <w:tc>
          <w:tcPr>
            <w:tcW w:w="534" w:type="dxa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ind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Портфель действующих поручительств Фонда, тыс. руб.</w:t>
            </w:r>
          </w:p>
        </w:tc>
        <w:tc>
          <w:tcPr>
            <w:tcW w:w="1843" w:type="dxa"/>
            <w:vAlign w:val="center"/>
          </w:tcPr>
          <w:p w:rsidR="00F91702" w:rsidRPr="00DD2D59" w:rsidRDefault="008732F3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681 570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ind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Количество действующих договоров поручительств, ед.</w:t>
            </w:r>
          </w:p>
        </w:tc>
        <w:tc>
          <w:tcPr>
            <w:tcW w:w="1843" w:type="dxa"/>
            <w:vAlign w:val="center"/>
          </w:tcPr>
          <w:p w:rsidR="00F91702" w:rsidRPr="00DD2D59" w:rsidRDefault="008732F3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77FDA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FD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2F2A7F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A7F">
              <w:rPr>
                <w:rFonts w:ascii="Times New Roman" w:hAnsi="Times New Roman"/>
                <w:i/>
                <w:sz w:val="24"/>
                <w:szCs w:val="24"/>
              </w:rPr>
              <w:t>Объем предоставленных поручительств субъектам МСП за период, тыс. руб.</w:t>
            </w:r>
          </w:p>
        </w:tc>
        <w:tc>
          <w:tcPr>
            <w:tcW w:w="1843" w:type="dxa"/>
            <w:vAlign w:val="center"/>
          </w:tcPr>
          <w:p w:rsidR="00F91702" w:rsidRPr="002F2A7F" w:rsidRDefault="008732F3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322 596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tabs>
                <w:tab w:val="left" w:pos="142"/>
              </w:tabs>
              <w:spacing w:before="120"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Количество предоставленных  поручительств субъектам МСП за период, ед.</w:t>
            </w:r>
          </w:p>
        </w:tc>
        <w:tc>
          <w:tcPr>
            <w:tcW w:w="1843" w:type="dxa"/>
            <w:vAlign w:val="center"/>
          </w:tcPr>
          <w:p w:rsidR="00F91702" w:rsidRPr="00DD2D59" w:rsidRDefault="008732F3" w:rsidP="008732F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77FDA" w:rsidRDefault="00F91702" w:rsidP="00022363">
            <w:pPr>
              <w:spacing w:before="120"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FD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2F2A7F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A7F">
              <w:rPr>
                <w:rFonts w:ascii="Times New Roman" w:hAnsi="Times New Roman"/>
                <w:i/>
                <w:sz w:val="24"/>
                <w:szCs w:val="24"/>
              </w:rPr>
              <w:t>Объем привлеченных финансовых средств субъектами МСП с помощью предоставленных поручительств за период, тыс. руб.</w:t>
            </w:r>
          </w:p>
        </w:tc>
        <w:tc>
          <w:tcPr>
            <w:tcW w:w="1843" w:type="dxa"/>
            <w:vAlign w:val="center"/>
          </w:tcPr>
          <w:p w:rsidR="00F91702" w:rsidRPr="002F2A7F" w:rsidRDefault="008732F3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1 322 161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ind w:right="-2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2F2A7F" w:rsidRDefault="00F91702" w:rsidP="00022363">
            <w:pPr>
              <w:spacing w:before="120" w:after="0" w:line="240" w:lineRule="auto"/>
              <w:ind w:firstLine="33"/>
              <w:jc w:val="center"/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2F2A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Коэффициент использования гарантийного капитала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(отношение действующих поручительств к сумме капитала)</w:t>
            </w:r>
          </w:p>
        </w:tc>
        <w:tc>
          <w:tcPr>
            <w:tcW w:w="1843" w:type="dxa"/>
            <w:vAlign w:val="center"/>
          </w:tcPr>
          <w:p w:rsidR="00F91702" w:rsidRPr="002F2A7F" w:rsidRDefault="008732F3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1,73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297D1B" w:rsidP="00022363">
            <w:pPr>
              <w:ind w:right="-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исполненных обязательств перед банками-партнерами за период, ед.</w:t>
            </w:r>
          </w:p>
        </w:tc>
        <w:tc>
          <w:tcPr>
            <w:tcW w:w="1843" w:type="dxa"/>
            <w:vAlign w:val="center"/>
          </w:tcPr>
          <w:p w:rsidR="00F91702" w:rsidRPr="00FB2D78" w:rsidRDefault="00FB2D78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297D1B" w:rsidP="00022363">
            <w:pPr>
              <w:ind w:right="-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Сумма исполненных обязательств перед банками-партнерами за период, тыс. руб.</w:t>
            </w:r>
          </w:p>
        </w:tc>
        <w:tc>
          <w:tcPr>
            <w:tcW w:w="1843" w:type="dxa"/>
            <w:vAlign w:val="center"/>
          </w:tcPr>
          <w:p w:rsidR="00F91702" w:rsidRPr="00FB2D78" w:rsidRDefault="00FB2D78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78">
              <w:rPr>
                <w:rFonts w:ascii="Times New Roman" w:hAnsi="Times New Roman"/>
                <w:sz w:val="24"/>
                <w:szCs w:val="24"/>
              </w:rPr>
              <w:t>26 256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ind w:right="-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7D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Уровень исполненных обязательств  в общем объеме выданных поручительств,%</w:t>
            </w:r>
          </w:p>
        </w:tc>
        <w:tc>
          <w:tcPr>
            <w:tcW w:w="1843" w:type="dxa"/>
            <w:vAlign w:val="center"/>
          </w:tcPr>
          <w:p w:rsidR="00F91702" w:rsidRPr="00DD2D59" w:rsidRDefault="00F91702" w:rsidP="00807922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807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ind w:right="-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Суммы, взысканные в рамках регрессионной работы (включая суммы, полученные по договорам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цессии</w:t>
            </w: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 от продажи обеспечения), тыс. руб.</w:t>
            </w:r>
          </w:p>
        </w:tc>
        <w:tc>
          <w:tcPr>
            <w:tcW w:w="1843" w:type="dxa"/>
            <w:vAlign w:val="center"/>
          </w:tcPr>
          <w:p w:rsidR="00F91702" w:rsidRDefault="00FB2D78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1 791</w:t>
            </w:r>
          </w:p>
        </w:tc>
      </w:tr>
    </w:tbl>
    <w:p w:rsidR="00797EA2" w:rsidRDefault="00797EA2" w:rsidP="004253D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74705" w:rsidRPr="000C3E8C" w:rsidRDefault="00E0613A" w:rsidP="004253D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C3E8C">
        <w:rPr>
          <w:rFonts w:ascii="Times New Roman" w:hAnsi="Times New Roman"/>
          <w:sz w:val="28"/>
          <w:szCs w:val="28"/>
        </w:rPr>
        <w:t xml:space="preserve">Структура </w:t>
      </w:r>
      <w:r w:rsidR="000728BF" w:rsidRPr="000C3E8C">
        <w:rPr>
          <w:rFonts w:ascii="Times New Roman" w:hAnsi="Times New Roman"/>
          <w:sz w:val="28"/>
          <w:szCs w:val="28"/>
        </w:rPr>
        <w:t xml:space="preserve">кредитов и банковских гарантий, обеспеченных поручительством Гарантийного фонда </w:t>
      </w:r>
      <w:r w:rsidR="002C631D" w:rsidRPr="000C3E8C">
        <w:rPr>
          <w:rFonts w:ascii="Times New Roman" w:hAnsi="Times New Roman"/>
          <w:sz w:val="28"/>
          <w:szCs w:val="28"/>
        </w:rPr>
        <w:t>по целям и видам деятельности</w:t>
      </w:r>
      <w:r w:rsidR="004253DC" w:rsidRPr="000C3E8C">
        <w:rPr>
          <w:rFonts w:ascii="Times New Roman" w:hAnsi="Times New Roman"/>
          <w:sz w:val="28"/>
          <w:szCs w:val="28"/>
        </w:rPr>
        <w:t>,</w:t>
      </w:r>
      <w:r w:rsidR="002C631D" w:rsidRPr="000C3E8C">
        <w:rPr>
          <w:rFonts w:ascii="Times New Roman" w:hAnsi="Times New Roman"/>
          <w:sz w:val="28"/>
          <w:szCs w:val="28"/>
        </w:rPr>
        <w:t xml:space="preserve"> </w:t>
      </w:r>
      <w:r w:rsidRPr="000C3E8C">
        <w:rPr>
          <w:rFonts w:ascii="Times New Roman" w:hAnsi="Times New Roman"/>
          <w:sz w:val="28"/>
          <w:szCs w:val="28"/>
        </w:rPr>
        <w:t xml:space="preserve"> представлена в таблице</w:t>
      </w:r>
      <w:r w:rsidR="00801B1D" w:rsidRPr="000C3E8C">
        <w:rPr>
          <w:rFonts w:ascii="Times New Roman" w:hAnsi="Times New Roman"/>
          <w:sz w:val="28"/>
          <w:szCs w:val="28"/>
        </w:rPr>
        <w:t xml:space="preserve"> </w:t>
      </w:r>
      <w:r w:rsidR="006941EE" w:rsidRPr="000C3E8C">
        <w:rPr>
          <w:rFonts w:ascii="Times New Roman" w:hAnsi="Times New Roman"/>
          <w:sz w:val="28"/>
          <w:szCs w:val="28"/>
        </w:rPr>
        <w:t>3</w:t>
      </w:r>
      <w:r w:rsidR="00801B1D" w:rsidRPr="000C3E8C">
        <w:rPr>
          <w:rFonts w:ascii="Times New Roman" w:hAnsi="Times New Roman"/>
          <w:sz w:val="28"/>
          <w:szCs w:val="28"/>
        </w:rPr>
        <w:t>.</w:t>
      </w:r>
    </w:p>
    <w:p w:rsidR="00A47D45" w:rsidRDefault="008E4A01" w:rsidP="00A47D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01B1D" w:rsidRPr="00AE4039">
        <w:rPr>
          <w:rFonts w:ascii="Times New Roman" w:hAnsi="Times New Roman"/>
          <w:sz w:val="26"/>
          <w:szCs w:val="26"/>
        </w:rPr>
        <w:t>Таблица</w:t>
      </w:r>
      <w:r w:rsidR="008C112E" w:rsidRPr="00AE4039">
        <w:rPr>
          <w:rFonts w:ascii="Times New Roman" w:hAnsi="Times New Roman"/>
          <w:sz w:val="26"/>
          <w:szCs w:val="26"/>
        </w:rPr>
        <w:t xml:space="preserve"> </w:t>
      </w:r>
      <w:r w:rsidR="006941EE">
        <w:rPr>
          <w:rFonts w:ascii="Times New Roman" w:hAnsi="Times New Roman"/>
          <w:sz w:val="26"/>
          <w:szCs w:val="26"/>
        </w:rPr>
        <w:t>3</w:t>
      </w:r>
      <w:r w:rsidR="00E9056C">
        <w:rPr>
          <w:rFonts w:ascii="Times New Roman" w:hAnsi="Times New Roman"/>
          <w:sz w:val="26"/>
          <w:szCs w:val="26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3614"/>
        <w:gridCol w:w="1843"/>
        <w:gridCol w:w="1903"/>
        <w:gridCol w:w="1605"/>
      </w:tblGrid>
      <w:tr w:rsidR="00A47D45" w:rsidRPr="00A47D45" w:rsidTr="00765E7A">
        <w:trPr>
          <w:trHeight w:val="1505"/>
        </w:trPr>
        <w:tc>
          <w:tcPr>
            <w:tcW w:w="605" w:type="dxa"/>
            <w:hideMark/>
          </w:tcPr>
          <w:p w:rsidR="00B82BF4" w:rsidRPr="005D1F23" w:rsidRDefault="00B82BF4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D45" w:rsidRPr="005D1F23" w:rsidRDefault="00B82BF4" w:rsidP="00B82B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4" w:type="dxa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Кредиты и банковские гарантии, обеспеченные поручительствами Гарантийного фонда</w:t>
            </w:r>
          </w:p>
        </w:tc>
        <w:tc>
          <w:tcPr>
            <w:tcW w:w="1843" w:type="dxa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Сумма кредитов/банковских гарантий, тыс. руб.</w:t>
            </w:r>
          </w:p>
        </w:tc>
        <w:tc>
          <w:tcPr>
            <w:tcW w:w="1903" w:type="dxa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Доля в общем объеме выданных кредитов/банковских гарантий</w:t>
            </w:r>
          </w:p>
        </w:tc>
        <w:tc>
          <w:tcPr>
            <w:tcW w:w="1605" w:type="dxa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Сумма поручительств фонда</w:t>
            </w:r>
            <w:proofErr w:type="gramStart"/>
            <w:r w:rsidRPr="005D1F23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D1F23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A47D45" w:rsidRPr="00A47D45" w:rsidTr="00B82BF4">
        <w:trPr>
          <w:trHeight w:val="1127"/>
        </w:trPr>
        <w:tc>
          <w:tcPr>
            <w:tcW w:w="605" w:type="dxa"/>
            <w:hideMark/>
          </w:tcPr>
          <w:p w:rsidR="00B82BF4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7D45" w:rsidRPr="005D1F23" w:rsidRDefault="00B82BF4" w:rsidP="00B82BF4">
            <w:pPr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 xml:space="preserve">Сумма кредитов и поручительств выданных: для приобретения, ремонта, модернизации основных средств; создание материально-технической базы нового предприятия; внедрение новых технологий; развитие научно-технической и инновационной </w:t>
            </w:r>
            <w:r w:rsidRPr="005D1F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деятельности; развитие экспортных операций и </w:t>
            </w:r>
            <w:proofErr w:type="spellStart"/>
            <w:r w:rsidRPr="005D1F23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lastRenderedPageBreak/>
              <w:t>2 150 016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48,70%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766 817</w:t>
            </w:r>
          </w:p>
        </w:tc>
      </w:tr>
      <w:tr w:rsidR="00A47D45" w:rsidRPr="00A47D45" w:rsidTr="00765E7A">
        <w:trPr>
          <w:trHeight w:val="1260"/>
        </w:trPr>
        <w:tc>
          <w:tcPr>
            <w:tcW w:w="605" w:type="dxa"/>
            <w:hideMark/>
          </w:tcPr>
          <w:p w:rsidR="00B82BF4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A47D45" w:rsidRPr="005D1F23" w:rsidRDefault="00B82BF4" w:rsidP="00B82BF4">
            <w:pPr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 xml:space="preserve">Кредиты, выдаваемые субъектам малого и среднего предпринимательства, осуществляющих деятельность в 10 приоритетных видах экономической деятельности, утверждаемых высшим органом управления ГФ, в </w:t>
            </w:r>
            <w:proofErr w:type="spellStart"/>
            <w:r w:rsidRPr="005D1F2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5D1F2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1 368 277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30,99%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713 402</w:t>
            </w:r>
          </w:p>
        </w:tc>
      </w:tr>
      <w:tr w:rsidR="00A47D45" w:rsidRPr="00A47D45" w:rsidTr="00765E7A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2.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 xml:space="preserve">Сельское хозяйство, охота и лесное </w:t>
            </w:r>
            <w:proofErr w:type="gramStart"/>
            <w:r w:rsidRPr="005D1F23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gramEnd"/>
            <w:r w:rsidRPr="005D1F23">
              <w:rPr>
                <w:rFonts w:ascii="Times New Roman" w:hAnsi="Times New Roman"/>
                <w:sz w:val="24"/>
                <w:szCs w:val="24"/>
              </w:rPr>
              <w:t xml:space="preserve"> и развитие промыслов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206 070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4,67%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104 123</w:t>
            </w:r>
          </w:p>
        </w:tc>
      </w:tr>
      <w:tr w:rsidR="00A47D45" w:rsidRPr="00A47D45" w:rsidTr="00765E7A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303 089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6,87%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161 823</w:t>
            </w:r>
          </w:p>
        </w:tc>
      </w:tr>
      <w:tr w:rsidR="00A47D45" w:rsidRPr="00A47D45" w:rsidTr="00765E7A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353 855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8,01%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170 270</w:t>
            </w:r>
          </w:p>
        </w:tc>
      </w:tr>
      <w:tr w:rsidR="00A47D45" w:rsidRPr="00A47D45" w:rsidTr="00765E7A">
        <w:trPr>
          <w:trHeight w:val="642"/>
        </w:trPr>
        <w:tc>
          <w:tcPr>
            <w:tcW w:w="605" w:type="dxa"/>
            <w:hideMark/>
          </w:tcPr>
          <w:p w:rsidR="00A47D45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общедоступной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 xml:space="preserve"> сети общественного питания и торговли в сельских и северных районах края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186 023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4,21%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106 935</w:t>
            </w:r>
          </w:p>
        </w:tc>
      </w:tr>
      <w:tr w:rsidR="00A47D45" w:rsidRPr="00A47D45" w:rsidTr="00765E7A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27 030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0,61%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19 269</w:t>
            </w:r>
          </w:p>
        </w:tc>
      </w:tr>
      <w:tr w:rsidR="00A47D45" w:rsidRPr="00A47D45" w:rsidTr="00765E7A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43 900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0,99%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23 333</w:t>
            </w:r>
          </w:p>
        </w:tc>
      </w:tr>
      <w:tr w:rsidR="00A47D45" w:rsidRPr="00A47D45" w:rsidTr="00765E7A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перевозке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149 371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3,38%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72 740</w:t>
            </w:r>
          </w:p>
        </w:tc>
      </w:tr>
      <w:tr w:rsidR="00A47D45" w:rsidRPr="00A47D45" w:rsidTr="00765E7A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84 200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1,91%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50 859</w:t>
            </w:r>
          </w:p>
        </w:tc>
      </w:tr>
      <w:tr w:rsidR="00A47D45" w:rsidRPr="00A47D45" w:rsidTr="00765E7A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14 739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0,33%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4 050</w:t>
            </w:r>
          </w:p>
        </w:tc>
      </w:tr>
      <w:tr w:rsidR="00A47D45" w:rsidRPr="00A47D45" w:rsidTr="00765E7A">
        <w:trPr>
          <w:trHeight w:val="960"/>
        </w:trPr>
        <w:tc>
          <w:tcPr>
            <w:tcW w:w="605" w:type="dxa"/>
            <w:hideMark/>
          </w:tcPr>
          <w:p w:rsidR="00B82BF4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D45" w:rsidRPr="005D1F23" w:rsidRDefault="00B82BF4" w:rsidP="00B82BF4">
            <w:pPr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Кредиты, предоставляемые субъектам малого и среднего предпринимательства, основной вид деятельности которых оптовая торговля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1 430 237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32,40%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713 043</w:t>
            </w:r>
          </w:p>
        </w:tc>
      </w:tr>
      <w:tr w:rsidR="00A47D45" w:rsidRPr="00A47D45" w:rsidTr="00765E7A">
        <w:trPr>
          <w:trHeight w:val="960"/>
        </w:trPr>
        <w:tc>
          <w:tcPr>
            <w:tcW w:w="605" w:type="dxa"/>
            <w:hideMark/>
          </w:tcPr>
          <w:p w:rsidR="00B82BF4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7D45" w:rsidRPr="005D1F23" w:rsidRDefault="00B82BF4" w:rsidP="00B82BF4">
            <w:pPr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Кредиты, предоставляемые субъектам малого и среднего предпринимательства, основной вид деятельности которых розничная торговля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645 289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14,62%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336 484</w:t>
            </w:r>
          </w:p>
        </w:tc>
      </w:tr>
      <w:tr w:rsidR="00A47D45" w:rsidRPr="00A47D45" w:rsidTr="00765E7A">
        <w:trPr>
          <w:trHeight w:val="319"/>
        </w:trPr>
        <w:tc>
          <w:tcPr>
            <w:tcW w:w="605" w:type="dxa"/>
            <w:hideMark/>
          </w:tcPr>
          <w:p w:rsidR="00A47D45" w:rsidRPr="005D1F23" w:rsidRDefault="00B82BF4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5</w:t>
            </w:r>
            <w:r w:rsidR="00A47D45" w:rsidRPr="005D1F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971 120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22,00%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197 925</w:t>
            </w:r>
          </w:p>
        </w:tc>
      </w:tr>
      <w:tr w:rsidR="00A47D45" w:rsidRPr="00A47D45" w:rsidTr="00765E7A">
        <w:trPr>
          <w:trHeight w:val="840"/>
        </w:trPr>
        <w:tc>
          <w:tcPr>
            <w:tcW w:w="605" w:type="dxa"/>
            <w:noWrap/>
            <w:hideMark/>
          </w:tcPr>
          <w:p w:rsidR="00A47D45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14" w:type="dxa"/>
            <w:noWrap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noWrap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4 414 924</w:t>
            </w:r>
          </w:p>
        </w:tc>
        <w:tc>
          <w:tcPr>
            <w:tcW w:w="1903" w:type="dxa"/>
            <w:noWrap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605" w:type="dxa"/>
            <w:noWrap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1 960 854</w:t>
            </w:r>
          </w:p>
        </w:tc>
      </w:tr>
    </w:tbl>
    <w:p w:rsidR="00581E13" w:rsidRPr="00851F5A" w:rsidRDefault="00581E13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1F5A">
        <w:rPr>
          <w:rFonts w:ascii="Times New Roman" w:hAnsi="Times New Roman"/>
          <w:sz w:val="28"/>
          <w:szCs w:val="28"/>
        </w:rPr>
        <w:lastRenderedPageBreak/>
        <w:t>Доля кредитов и банковских гарантий, выдаваемым субъектам малого и среднего предпринимательства, осуществляющих деятельность в 10 приоритетных видах э</w:t>
      </w:r>
      <w:r w:rsidR="008447E0" w:rsidRPr="00851F5A">
        <w:rPr>
          <w:rFonts w:ascii="Times New Roman" w:hAnsi="Times New Roman"/>
          <w:sz w:val="28"/>
          <w:szCs w:val="28"/>
        </w:rPr>
        <w:t xml:space="preserve">кономической деятельности края, </w:t>
      </w:r>
      <w:r w:rsidRPr="00851F5A">
        <w:rPr>
          <w:rFonts w:ascii="Times New Roman" w:hAnsi="Times New Roman"/>
          <w:sz w:val="28"/>
          <w:szCs w:val="28"/>
        </w:rPr>
        <w:t xml:space="preserve">составляет </w:t>
      </w:r>
      <w:r w:rsidR="008B61A2" w:rsidRPr="00851F5A">
        <w:rPr>
          <w:rFonts w:ascii="Times New Roman" w:hAnsi="Times New Roman"/>
          <w:sz w:val="28"/>
          <w:szCs w:val="28"/>
        </w:rPr>
        <w:t>31</w:t>
      </w:r>
      <w:r w:rsidR="006E111F">
        <w:rPr>
          <w:rFonts w:ascii="Times New Roman" w:hAnsi="Times New Roman"/>
          <w:sz w:val="28"/>
          <w:szCs w:val="28"/>
        </w:rPr>
        <w:t>,0</w:t>
      </w:r>
      <w:r w:rsidRPr="00851F5A">
        <w:rPr>
          <w:rFonts w:ascii="Times New Roman" w:hAnsi="Times New Roman"/>
          <w:sz w:val="28"/>
          <w:szCs w:val="28"/>
        </w:rPr>
        <w:t xml:space="preserve">%. На долю оптовой и розничной торговли приходится соответственно </w:t>
      </w:r>
      <w:r w:rsidR="008B61A2" w:rsidRPr="00851F5A">
        <w:rPr>
          <w:rFonts w:ascii="Times New Roman" w:hAnsi="Times New Roman"/>
          <w:sz w:val="28"/>
          <w:szCs w:val="28"/>
        </w:rPr>
        <w:t>32,4</w:t>
      </w:r>
      <w:r w:rsidRPr="00851F5A">
        <w:rPr>
          <w:rFonts w:ascii="Times New Roman" w:hAnsi="Times New Roman"/>
          <w:sz w:val="28"/>
          <w:szCs w:val="28"/>
        </w:rPr>
        <w:t xml:space="preserve">%  и </w:t>
      </w:r>
      <w:r w:rsidR="008B61A2" w:rsidRPr="00851F5A">
        <w:rPr>
          <w:rFonts w:ascii="Times New Roman" w:hAnsi="Times New Roman"/>
          <w:sz w:val="28"/>
          <w:szCs w:val="28"/>
        </w:rPr>
        <w:t>14,6</w:t>
      </w:r>
      <w:r w:rsidRPr="00851F5A">
        <w:rPr>
          <w:rFonts w:ascii="Times New Roman" w:hAnsi="Times New Roman"/>
          <w:sz w:val="28"/>
          <w:szCs w:val="28"/>
        </w:rPr>
        <w:t>%.</w:t>
      </w:r>
    </w:p>
    <w:p w:rsidR="004707F7" w:rsidRPr="00851F5A" w:rsidRDefault="004707F7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1F5A">
        <w:rPr>
          <w:rFonts w:ascii="Times New Roman" w:hAnsi="Times New Roman"/>
          <w:sz w:val="28"/>
          <w:szCs w:val="28"/>
        </w:rPr>
        <w:t>Наибольшая доля кредитов и банковских гарантий, предоставляемых субъектам малого и среднего предпринимательства</w:t>
      </w:r>
      <w:r w:rsidR="00791D89" w:rsidRPr="00851F5A">
        <w:rPr>
          <w:rFonts w:ascii="Times New Roman" w:hAnsi="Times New Roman"/>
          <w:sz w:val="28"/>
          <w:szCs w:val="28"/>
        </w:rPr>
        <w:t>,</w:t>
      </w:r>
      <w:r w:rsidR="00111FD6" w:rsidRPr="00851F5A">
        <w:rPr>
          <w:rFonts w:ascii="Times New Roman" w:hAnsi="Times New Roman"/>
          <w:sz w:val="28"/>
          <w:szCs w:val="28"/>
        </w:rPr>
        <w:t xml:space="preserve"> приходит</w:t>
      </w:r>
      <w:r w:rsidR="006E111F">
        <w:rPr>
          <w:rFonts w:ascii="Times New Roman" w:hAnsi="Times New Roman"/>
          <w:sz w:val="28"/>
          <w:szCs w:val="28"/>
        </w:rPr>
        <w:t xml:space="preserve">ся на </w:t>
      </w:r>
      <w:r w:rsidRPr="00851F5A">
        <w:rPr>
          <w:rFonts w:ascii="Times New Roman" w:hAnsi="Times New Roman"/>
          <w:sz w:val="28"/>
          <w:szCs w:val="28"/>
        </w:rPr>
        <w:t>сумм</w:t>
      </w:r>
      <w:r w:rsidR="00791D89" w:rsidRPr="00851F5A">
        <w:rPr>
          <w:rFonts w:ascii="Times New Roman" w:hAnsi="Times New Roman"/>
          <w:sz w:val="28"/>
          <w:szCs w:val="28"/>
        </w:rPr>
        <w:t xml:space="preserve">у </w:t>
      </w:r>
      <w:r w:rsidR="00E9235F" w:rsidRPr="00851F5A">
        <w:rPr>
          <w:rFonts w:ascii="Times New Roman" w:hAnsi="Times New Roman"/>
          <w:sz w:val="28"/>
          <w:szCs w:val="28"/>
        </w:rPr>
        <w:t xml:space="preserve">свыше 20 млн. руб. </w:t>
      </w:r>
      <w:r w:rsidR="00791D89" w:rsidRPr="00851F5A">
        <w:rPr>
          <w:rFonts w:ascii="Times New Roman" w:hAnsi="Times New Roman"/>
          <w:sz w:val="28"/>
          <w:szCs w:val="28"/>
        </w:rPr>
        <w:t xml:space="preserve"> и составляет </w:t>
      </w:r>
      <w:r w:rsidR="006E111F">
        <w:rPr>
          <w:rFonts w:ascii="Times New Roman" w:hAnsi="Times New Roman"/>
          <w:sz w:val="28"/>
          <w:szCs w:val="28"/>
        </w:rPr>
        <w:t>38,7</w:t>
      </w:r>
      <w:r w:rsidR="00791D89" w:rsidRPr="00851F5A">
        <w:rPr>
          <w:rFonts w:ascii="Times New Roman" w:hAnsi="Times New Roman"/>
          <w:sz w:val="28"/>
          <w:szCs w:val="28"/>
        </w:rPr>
        <w:t>%.</w:t>
      </w:r>
      <w:r w:rsidRPr="00851F5A">
        <w:rPr>
          <w:rFonts w:ascii="Times New Roman" w:hAnsi="Times New Roman"/>
          <w:sz w:val="28"/>
          <w:szCs w:val="28"/>
        </w:rPr>
        <w:t xml:space="preserve">   </w:t>
      </w:r>
    </w:p>
    <w:p w:rsidR="002C631D" w:rsidRPr="00851F5A" w:rsidRDefault="002C631D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1F5A">
        <w:rPr>
          <w:rFonts w:ascii="Times New Roman" w:hAnsi="Times New Roman"/>
          <w:sz w:val="28"/>
          <w:szCs w:val="28"/>
        </w:rPr>
        <w:t xml:space="preserve">Структура кредитов и банковских гарантий, обеспеченных поручительством Гарантийного фонда  </w:t>
      </w:r>
      <w:r w:rsidRPr="00851F5A">
        <w:rPr>
          <w:rFonts w:ascii="Times New Roman" w:hAnsi="Times New Roman"/>
          <w:b/>
          <w:sz w:val="28"/>
          <w:szCs w:val="28"/>
        </w:rPr>
        <w:t>по сумме</w:t>
      </w:r>
      <w:r w:rsidR="0053729E" w:rsidRPr="00851F5A">
        <w:rPr>
          <w:rFonts w:ascii="Times New Roman" w:hAnsi="Times New Roman"/>
          <w:b/>
          <w:sz w:val="28"/>
          <w:szCs w:val="28"/>
        </w:rPr>
        <w:t xml:space="preserve"> </w:t>
      </w:r>
      <w:r w:rsidRPr="00851F5A">
        <w:rPr>
          <w:rFonts w:ascii="Times New Roman" w:hAnsi="Times New Roman"/>
          <w:sz w:val="28"/>
          <w:szCs w:val="28"/>
        </w:rPr>
        <w:t>представлена  на рис.1</w:t>
      </w:r>
    </w:p>
    <w:p w:rsidR="00145659" w:rsidRDefault="00145659" w:rsidP="00311A50">
      <w:pPr>
        <w:autoSpaceDE w:val="0"/>
        <w:autoSpaceDN w:val="0"/>
        <w:adjustRightInd w:val="0"/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644EDE6F" wp14:editId="5EBF400F">
            <wp:extent cx="5939790" cy="3922260"/>
            <wp:effectExtent l="0" t="0" r="3810" b="25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2C631D" w:rsidRDefault="002C631D" w:rsidP="00311A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1173B">
        <w:rPr>
          <w:rFonts w:ascii="Times New Roman" w:hAnsi="Times New Roman"/>
          <w:sz w:val="28"/>
          <w:szCs w:val="28"/>
        </w:rPr>
        <w:t>Рис.1</w:t>
      </w:r>
      <w:r w:rsidR="00DD7EFE" w:rsidRPr="0051173B">
        <w:rPr>
          <w:rFonts w:ascii="Times New Roman" w:hAnsi="Times New Roman"/>
          <w:sz w:val="28"/>
          <w:szCs w:val="28"/>
        </w:rPr>
        <w:t xml:space="preserve"> Структура кредитов и банковских гарантий по сумм</w:t>
      </w:r>
      <w:r w:rsidR="0051173B">
        <w:rPr>
          <w:rFonts w:ascii="Times New Roman" w:hAnsi="Times New Roman"/>
          <w:sz w:val="28"/>
          <w:szCs w:val="28"/>
        </w:rPr>
        <w:t>е</w:t>
      </w:r>
      <w:r w:rsidR="00DD7EFE">
        <w:rPr>
          <w:rFonts w:ascii="Times New Roman" w:hAnsi="Times New Roman"/>
          <w:sz w:val="26"/>
          <w:szCs w:val="26"/>
        </w:rPr>
        <w:t xml:space="preserve">. </w:t>
      </w:r>
    </w:p>
    <w:p w:rsidR="00581E13" w:rsidRDefault="00581E13" w:rsidP="002B6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1173B" w:rsidRPr="0051173B" w:rsidRDefault="0006183E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173B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="00797EA2" w:rsidRPr="0051173B">
        <w:rPr>
          <w:rFonts w:ascii="Times New Roman" w:hAnsi="Times New Roman"/>
          <w:sz w:val="28"/>
          <w:szCs w:val="28"/>
        </w:rPr>
        <w:t>поручительств Фонда</w:t>
      </w:r>
      <w:r w:rsidRPr="0051173B">
        <w:rPr>
          <w:rFonts w:ascii="Times New Roman" w:hAnsi="Times New Roman"/>
          <w:sz w:val="28"/>
          <w:szCs w:val="28"/>
        </w:rPr>
        <w:t xml:space="preserve"> выдается на срок </w:t>
      </w:r>
      <w:r w:rsidR="0051173B" w:rsidRPr="0051173B">
        <w:rPr>
          <w:rFonts w:ascii="Times New Roman" w:hAnsi="Times New Roman"/>
          <w:sz w:val="28"/>
          <w:szCs w:val="28"/>
        </w:rPr>
        <w:t>5 лет и выше</w:t>
      </w:r>
      <w:r w:rsidRPr="0051173B">
        <w:rPr>
          <w:rFonts w:ascii="Times New Roman" w:hAnsi="Times New Roman"/>
          <w:sz w:val="28"/>
          <w:szCs w:val="28"/>
        </w:rPr>
        <w:t xml:space="preserve"> – </w:t>
      </w:r>
      <w:r w:rsidR="0051173B" w:rsidRPr="0051173B">
        <w:rPr>
          <w:rFonts w:ascii="Times New Roman" w:hAnsi="Times New Roman"/>
          <w:sz w:val="28"/>
          <w:szCs w:val="28"/>
        </w:rPr>
        <w:t>36</w:t>
      </w:r>
      <w:r w:rsidRPr="0051173B">
        <w:rPr>
          <w:rFonts w:ascii="Times New Roman" w:hAnsi="Times New Roman"/>
          <w:sz w:val="28"/>
          <w:szCs w:val="28"/>
        </w:rPr>
        <w:t xml:space="preserve"> % от общего объема.</w:t>
      </w:r>
      <w:r w:rsidR="00DD7EFE" w:rsidRPr="0051173B">
        <w:rPr>
          <w:rFonts w:ascii="Times New Roman" w:hAnsi="Times New Roman"/>
          <w:sz w:val="28"/>
          <w:szCs w:val="28"/>
        </w:rPr>
        <w:t xml:space="preserve"> </w:t>
      </w:r>
    </w:p>
    <w:p w:rsidR="0006183E" w:rsidRPr="0051173B" w:rsidRDefault="0006183E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173B">
        <w:rPr>
          <w:rFonts w:ascii="Times New Roman" w:hAnsi="Times New Roman"/>
          <w:sz w:val="28"/>
          <w:szCs w:val="28"/>
        </w:rPr>
        <w:t>Структура кредитов и банковских гарантий, обеспеченных пору</w:t>
      </w:r>
      <w:r w:rsidR="0051173B">
        <w:rPr>
          <w:rFonts w:ascii="Times New Roman" w:hAnsi="Times New Roman"/>
          <w:sz w:val="28"/>
          <w:szCs w:val="28"/>
        </w:rPr>
        <w:t xml:space="preserve">чительством Гарантийного фонда </w:t>
      </w:r>
      <w:r w:rsidRPr="0051173B">
        <w:rPr>
          <w:rFonts w:ascii="Times New Roman" w:hAnsi="Times New Roman"/>
          <w:b/>
          <w:sz w:val="28"/>
          <w:szCs w:val="28"/>
        </w:rPr>
        <w:t>по сроку</w:t>
      </w:r>
      <w:r w:rsidRPr="0051173B">
        <w:rPr>
          <w:rFonts w:ascii="Times New Roman" w:hAnsi="Times New Roman"/>
          <w:sz w:val="28"/>
          <w:szCs w:val="28"/>
        </w:rPr>
        <w:t xml:space="preserve"> представлена  на рис.</w:t>
      </w:r>
      <w:r w:rsidR="0053729E" w:rsidRPr="0051173B">
        <w:rPr>
          <w:rFonts w:ascii="Times New Roman" w:hAnsi="Times New Roman"/>
          <w:sz w:val="28"/>
          <w:szCs w:val="28"/>
        </w:rPr>
        <w:t>2</w:t>
      </w:r>
      <w:r w:rsidR="00E46103" w:rsidRPr="0051173B">
        <w:rPr>
          <w:rFonts w:ascii="Times New Roman" w:hAnsi="Times New Roman"/>
          <w:sz w:val="28"/>
          <w:szCs w:val="28"/>
        </w:rPr>
        <w:t>.</w:t>
      </w:r>
    </w:p>
    <w:p w:rsidR="00334C8D" w:rsidRDefault="00334C8D" w:rsidP="00ED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4C8D" w:rsidRDefault="00334C8D" w:rsidP="00ED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680F0460" wp14:editId="2327BFDA">
            <wp:extent cx="6202017" cy="3945835"/>
            <wp:effectExtent l="0" t="0" r="889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126B80" w:rsidRPr="00334C8D" w:rsidRDefault="00126B80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34C8D">
        <w:rPr>
          <w:rFonts w:ascii="Times New Roman" w:hAnsi="Times New Roman"/>
          <w:sz w:val="28"/>
          <w:szCs w:val="28"/>
        </w:rPr>
        <w:t>Рис.2 Структура кредитов и банковских гарантий по сроку предоставления.</w:t>
      </w:r>
    </w:p>
    <w:p w:rsidR="00126B80" w:rsidRPr="00334C8D" w:rsidRDefault="00126B80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094EBC" w:rsidRDefault="0006183E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34C8D">
        <w:rPr>
          <w:rFonts w:ascii="Times New Roman" w:hAnsi="Times New Roman"/>
          <w:sz w:val="28"/>
          <w:szCs w:val="28"/>
        </w:rPr>
        <w:t>Средний срок поручительства составляет</w:t>
      </w:r>
      <w:r w:rsidR="00B35560" w:rsidRPr="00334C8D">
        <w:rPr>
          <w:rFonts w:ascii="Times New Roman" w:hAnsi="Times New Roman"/>
          <w:sz w:val="28"/>
          <w:szCs w:val="28"/>
        </w:rPr>
        <w:t xml:space="preserve"> </w:t>
      </w:r>
      <w:r w:rsidR="00094EBC">
        <w:rPr>
          <w:rFonts w:ascii="Times New Roman" w:hAnsi="Times New Roman"/>
          <w:sz w:val="28"/>
          <w:szCs w:val="28"/>
        </w:rPr>
        <w:t>2,75</w:t>
      </w:r>
      <w:r w:rsidRPr="00334C8D">
        <w:rPr>
          <w:rFonts w:ascii="Times New Roman" w:hAnsi="Times New Roman"/>
          <w:sz w:val="28"/>
          <w:szCs w:val="28"/>
        </w:rPr>
        <w:t xml:space="preserve"> </w:t>
      </w:r>
      <w:r w:rsidR="00094EBC">
        <w:rPr>
          <w:rFonts w:ascii="Times New Roman" w:hAnsi="Times New Roman"/>
          <w:sz w:val="28"/>
          <w:szCs w:val="28"/>
        </w:rPr>
        <w:t>года</w:t>
      </w:r>
      <w:r w:rsidRPr="00334C8D">
        <w:rPr>
          <w:rFonts w:ascii="Times New Roman" w:hAnsi="Times New Roman"/>
          <w:sz w:val="28"/>
          <w:szCs w:val="28"/>
        </w:rPr>
        <w:t>. Средний размер кредита</w:t>
      </w:r>
      <w:r w:rsidR="00FE0D67" w:rsidRPr="00334C8D">
        <w:rPr>
          <w:rFonts w:ascii="Times New Roman" w:hAnsi="Times New Roman"/>
          <w:sz w:val="28"/>
          <w:szCs w:val="28"/>
        </w:rPr>
        <w:t>,</w:t>
      </w:r>
      <w:r w:rsidRPr="00334C8D">
        <w:rPr>
          <w:rFonts w:ascii="Times New Roman" w:hAnsi="Times New Roman"/>
          <w:sz w:val="28"/>
          <w:szCs w:val="28"/>
        </w:rPr>
        <w:t xml:space="preserve"> предоставляемого под поручительство Гарантийного фонда, по состоянию на 01.01.201</w:t>
      </w:r>
      <w:r w:rsidR="00334C8D">
        <w:rPr>
          <w:rFonts w:ascii="Times New Roman" w:hAnsi="Times New Roman"/>
          <w:sz w:val="28"/>
          <w:szCs w:val="28"/>
        </w:rPr>
        <w:t>8</w:t>
      </w:r>
      <w:r w:rsidR="00B35560" w:rsidRPr="00334C8D">
        <w:rPr>
          <w:rFonts w:ascii="Times New Roman" w:hAnsi="Times New Roman"/>
          <w:sz w:val="28"/>
          <w:szCs w:val="28"/>
        </w:rPr>
        <w:t xml:space="preserve"> </w:t>
      </w:r>
      <w:r w:rsidRPr="00334C8D">
        <w:rPr>
          <w:rFonts w:ascii="Times New Roman" w:hAnsi="Times New Roman"/>
          <w:sz w:val="28"/>
          <w:szCs w:val="28"/>
        </w:rPr>
        <w:t>года</w:t>
      </w:r>
      <w:r w:rsidR="00FE0D67" w:rsidRPr="00334C8D">
        <w:rPr>
          <w:rFonts w:ascii="Times New Roman" w:hAnsi="Times New Roman"/>
          <w:sz w:val="28"/>
          <w:szCs w:val="28"/>
        </w:rPr>
        <w:t>,</w:t>
      </w:r>
      <w:r w:rsidRPr="00334C8D">
        <w:rPr>
          <w:rFonts w:ascii="Times New Roman" w:hAnsi="Times New Roman"/>
          <w:sz w:val="28"/>
          <w:szCs w:val="28"/>
        </w:rPr>
        <w:t xml:space="preserve"> составил </w:t>
      </w:r>
      <w:r w:rsidR="00094EBC">
        <w:rPr>
          <w:rFonts w:ascii="Times New Roman" w:hAnsi="Times New Roman"/>
          <w:sz w:val="28"/>
          <w:szCs w:val="28"/>
        </w:rPr>
        <w:t>9,4</w:t>
      </w:r>
      <w:r w:rsidRPr="00334C8D">
        <w:rPr>
          <w:rFonts w:ascii="Times New Roman" w:hAnsi="Times New Roman"/>
          <w:sz w:val="28"/>
          <w:szCs w:val="28"/>
        </w:rPr>
        <w:t xml:space="preserve"> млн. рублей. Средняя сумма поручительства – </w:t>
      </w:r>
      <w:r w:rsidR="00094EBC">
        <w:rPr>
          <w:rFonts w:ascii="Times New Roman" w:hAnsi="Times New Roman"/>
          <w:sz w:val="28"/>
          <w:szCs w:val="28"/>
        </w:rPr>
        <w:t>4,2</w:t>
      </w:r>
      <w:r w:rsidRPr="00334C8D">
        <w:rPr>
          <w:rFonts w:ascii="Times New Roman" w:hAnsi="Times New Roman"/>
          <w:sz w:val="28"/>
          <w:szCs w:val="28"/>
        </w:rPr>
        <w:t xml:space="preserve"> млн. руб.</w:t>
      </w:r>
      <w:r w:rsidR="00B35560" w:rsidRPr="00334C8D">
        <w:rPr>
          <w:rFonts w:ascii="Times New Roman" w:hAnsi="Times New Roman"/>
          <w:sz w:val="28"/>
          <w:szCs w:val="28"/>
        </w:rPr>
        <w:t xml:space="preserve"> </w:t>
      </w:r>
    </w:p>
    <w:p w:rsidR="00094EBC" w:rsidRPr="00334C8D" w:rsidRDefault="00094EBC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связи с ростом доли инвестиционных кредитов предоставленных под поручительство Гарантийного фонда наблюдался рост показателей. Средний срок кредита предоставленного под поручительства Гарантийного фонда в 2017 году 3,2 года. Средний размер кредита 20,3 млн. руб. Средняя сумма поручительства 5 млн. руб.</w:t>
      </w:r>
    </w:p>
    <w:p w:rsidR="005D55E7" w:rsidRPr="00F605FD" w:rsidRDefault="00C636B4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334C8D">
        <w:rPr>
          <w:rFonts w:ascii="Times New Roman" w:hAnsi="Times New Roman"/>
          <w:sz w:val="28"/>
          <w:szCs w:val="28"/>
        </w:rPr>
        <w:t>В разрезе банков-партнеров, заключивших с Гарантийным фондом  Соглашения о сотрудничестве, н</w:t>
      </w:r>
      <w:r w:rsidR="00102B15" w:rsidRPr="00334C8D">
        <w:rPr>
          <w:rFonts w:ascii="Times New Roman" w:hAnsi="Times New Roman"/>
          <w:sz w:val="28"/>
          <w:szCs w:val="28"/>
        </w:rPr>
        <w:t>аибольший</w:t>
      </w:r>
      <w:r w:rsidR="00D70107" w:rsidRPr="00334C8D">
        <w:rPr>
          <w:rFonts w:ascii="Times New Roman" w:hAnsi="Times New Roman"/>
          <w:sz w:val="28"/>
          <w:szCs w:val="28"/>
        </w:rPr>
        <w:t xml:space="preserve"> объем поручитель</w:t>
      </w:r>
      <w:proofErr w:type="gramStart"/>
      <w:r w:rsidR="00D70107" w:rsidRPr="00334C8D">
        <w:rPr>
          <w:rFonts w:ascii="Times New Roman" w:hAnsi="Times New Roman"/>
          <w:sz w:val="28"/>
          <w:szCs w:val="28"/>
        </w:rPr>
        <w:t xml:space="preserve">ств </w:t>
      </w:r>
      <w:r w:rsidR="008E4A01" w:rsidRPr="00334C8D">
        <w:rPr>
          <w:rFonts w:ascii="Times New Roman" w:hAnsi="Times New Roman"/>
          <w:sz w:val="28"/>
          <w:szCs w:val="28"/>
        </w:rPr>
        <w:t xml:space="preserve"> </w:t>
      </w:r>
      <w:r w:rsidR="00094EBC">
        <w:rPr>
          <w:rFonts w:ascii="Times New Roman" w:hAnsi="Times New Roman"/>
          <w:sz w:val="28"/>
          <w:szCs w:val="28"/>
        </w:rPr>
        <w:t>пр</w:t>
      </w:r>
      <w:proofErr w:type="gramEnd"/>
      <w:r w:rsidR="00094EBC">
        <w:rPr>
          <w:rFonts w:ascii="Times New Roman" w:hAnsi="Times New Roman"/>
          <w:sz w:val="28"/>
          <w:szCs w:val="28"/>
        </w:rPr>
        <w:t>иходится</w:t>
      </w:r>
      <w:r w:rsidR="00D70107" w:rsidRPr="00334C8D">
        <w:rPr>
          <w:rFonts w:ascii="Times New Roman" w:hAnsi="Times New Roman"/>
          <w:sz w:val="28"/>
          <w:szCs w:val="28"/>
        </w:rPr>
        <w:t xml:space="preserve"> на </w:t>
      </w:r>
      <w:r w:rsidR="00023910" w:rsidRPr="00334C8D">
        <w:rPr>
          <w:rFonts w:ascii="Times New Roman" w:hAnsi="Times New Roman"/>
          <w:sz w:val="28"/>
          <w:szCs w:val="28"/>
        </w:rPr>
        <w:t>Банк ВТБ-24 (ПАО)</w:t>
      </w:r>
      <w:r w:rsidR="00977F2A" w:rsidRPr="00334C8D">
        <w:rPr>
          <w:rFonts w:ascii="Times New Roman" w:hAnsi="Times New Roman"/>
          <w:sz w:val="28"/>
          <w:szCs w:val="28"/>
        </w:rPr>
        <w:t>.</w:t>
      </w:r>
      <w:r w:rsidRPr="00334C8D">
        <w:rPr>
          <w:rFonts w:ascii="Times New Roman" w:hAnsi="Times New Roman"/>
          <w:sz w:val="28"/>
          <w:szCs w:val="28"/>
        </w:rPr>
        <w:t xml:space="preserve"> </w:t>
      </w:r>
      <w:r w:rsidR="00977F2A" w:rsidRPr="00334C8D">
        <w:rPr>
          <w:rFonts w:ascii="Times New Roman" w:hAnsi="Times New Roman"/>
          <w:sz w:val="28"/>
          <w:szCs w:val="28"/>
        </w:rPr>
        <w:t>Д</w:t>
      </w:r>
      <w:r w:rsidR="00D70107" w:rsidRPr="00334C8D">
        <w:rPr>
          <w:rFonts w:ascii="Times New Roman" w:hAnsi="Times New Roman"/>
          <w:sz w:val="28"/>
          <w:szCs w:val="28"/>
        </w:rPr>
        <w:t>анный банк (на 01.01.201</w:t>
      </w:r>
      <w:r w:rsidR="00094EBC">
        <w:rPr>
          <w:rFonts w:ascii="Times New Roman" w:hAnsi="Times New Roman"/>
          <w:sz w:val="28"/>
          <w:szCs w:val="28"/>
        </w:rPr>
        <w:t>8</w:t>
      </w:r>
      <w:r w:rsidR="00D70107" w:rsidRPr="00334C8D">
        <w:rPr>
          <w:rFonts w:ascii="Times New Roman" w:hAnsi="Times New Roman"/>
          <w:sz w:val="28"/>
          <w:szCs w:val="28"/>
        </w:rPr>
        <w:t xml:space="preserve"> года) </w:t>
      </w:r>
      <w:r w:rsidR="002B3AFD" w:rsidRPr="00334C8D">
        <w:rPr>
          <w:rFonts w:ascii="Times New Roman" w:hAnsi="Times New Roman"/>
          <w:sz w:val="28"/>
          <w:szCs w:val="28"/>
        </w:rPr>
        <w:t xml:space="preserve">выдал </w:t>
      </w:r>
      <w:r w:rsidR="00B35560" w:rsidRPr="00334C8D">
        <w:rPr>
          <w:rFonts w:ascii="Times New Roman" w:hAnsi="Times New Roman"/>
          <w:sz w:val="28"/>
          <w:szCs w:val="28"/>
        </w:rPr>
        <w:t>1</w:t>
      </w:r>
      <w:r w:rsidR="006E0C02">
        <w:rPr>
          <w:rFonts w:ascii="Times New Roman" w:hAnsi="Times New Roman"/>
          <w:sz w:val="28"/>
          <w:szCs w:val="28"/>
        </w:rPr>
        <w:t>27</w:t>
      </w:r>
      <w:r w:rsidR="00977F2A" w:rsidRPr="00334C8D">
        <w:rPr>
          <w:rFonts w:ascii="Times New Roman" w:hAnsi="Times New Roman"/>
          <w:sz w:val="28"/>
          <w:szCs w:val="28"/>
        </w:rPr>
        <w:t xml:space="preserve"> </w:t>
      </w:r>
      <w:r w:rsidR="002B3AFD" w:rsidRPr="00334C8D">
        <w:rPr>
          <w:rFonts w:ascii="Times New Roman" w:hAnsi="Times New Roman"/>
          <w:sz w:val="28"/>
          <w:szCs w:val="28"/>
        </w:rPr>
        <w:t xml:space="preserve">кредитов на сумму </w:t>
      </w:r>
      <w:r w:rsidR="006E0C02">
        <w:rPr>
          <w:rFonts w:ascii="Times New Roman" w:hAnsi="Times New Roman"/>
          <w:sz w:val="28"/>
          <w:szCs w:val="28"/>
        </w:rPr>
        <w:t>1147</w:t>
      </w:r>
      <w:r w:rsidR="00B35560" w:rsidRPr="00334C8D">
        <w:rPr>
          <w:rFonts w:ascii="Times New Roman" w:hAnsi="Times New Roman"/>
          <w:sz w:val="28"/>
          <w:szCs w:val="28"/>
        </w:rPr>
        <w:t xml:space="preserve"> </w:t>
      </w:r>
      <w:r w:rsidR="006E0C02">
        <w:rPr>
          <w:rFonts w:ascii="Times New Roman" w:hAnsi="Times New Roman"/>
          <w:sz w:val="28"/>
          <w:szCs w:val="28"/>
        </w:rPr>
        <w:t>млн.</w:t>
      </w:r>
      <w:r w:rsidR="00F605FD" w:rsidRPr="00334C8D">
        <w:rPr>
          <w:rFonts w:ascii="Times New Roman" w:hAnsi="Times New Roman"/>
          <w:sz w:val="28"/>
          <w:szCs w:val="28"/>
        </w:rPr>
        <w:t xml:space="preserve"> </w:t>
      </w:r>
      <w:r w:rsidR="00977F2A" w:rsidRPr="00334C8D">
        <w:rPr>
          <w:rFonts w:ascii="Times New Roman" w:hAnsi="Times New Roman"/>
          <w:sz w:val="28"/>
          <w:szCs w:val="28"/>
        </w:rPr>
        <w:t xml:space="preserve">рублей </w:t>
      </w:r>
      <w:r w:rsidR="002B3AFD" w:rsidRPr="00334C8D">
        <w:rPr>
          <w:rFonts w:ascii="Times New Roman" w:hAnsi="Times New Roman"/>
          <w:sz w:val="28"/>
          <w:szCs w:val="28"/>
        </w:rPr>
        <w:t xml:space="preserve"> </w:t>
      </w:r>
      <w:r w:rsidRPr="00334C8D">
        <w:rPr>
          <w:rFonts w:ascii="Times New Roman" w:hAnsi="Times New Roman"/>
          <w:sz w:val="28"/>
          <w:szCs w:val="28"/>
        </w:rPr>
        <w:t xml:space="preserve">под поручительство </w:t>
      </w:r>
      <w:r w:rsidR="006E0C02">
        <w:rPr>
          <w:rFonts w:ascii="Times New Roman" w:hAnsi="Times New Roman"/>
          <w:sz w:val="28"/>
          <w:szCs w:val="28"/>
        </w:rPr>
        <w:t xml:space="preserve"> Гарантийного фонда</w:t>
      </w:r>
      <w:r w:rsidR="00DB7DFE" w:rsidRPr="00334C8D">
        <w:rPr>
          <w:rFonts w:ascii="Times New Roman" w:hAnsi="Times New Roman"/>
          <w:sz w:val="28"/>
          <w:szCs w:val="28"/>
        </w:rPr>
        <w:t xml:space="preserve"> </w:t>
      </w:r>
      <w:r w:rsidR="006E0C02">
        <w:rPr>
          <w:rFonts w:ascii="Times New Roman" w:hAnsi="Times New Roman"/>
          <w:sz w:val="28"/>
          <w:szCs w:val="28"/>
        </w:rPr>
        <w:t>в сумме</w:t>
      </w:r>
      <w:r w:rsidR="00DB7DFE" w:rsidRPr="00334C8D">
        <w:rPr>
          <w:rFonts w:ascii="Times New Roman" w:hAnsi="Times New Roman"/>
          <w:sz w:val="28"/>
          <w:szCs w:val="28"/>
        </w:rPr>
        <w:t xml:space="preserve"> </w:t>
      </w:r>
      <w:r w:rsidR="006E0C02">
        <w:rPr>
          <w:rFonts w:ascii="Times New Roman" w:hAnsi="Times New Roman"/>
          <w:sz w:val="28"/>
          <w:szCs w:val="28"/>
        </w:rPr>
        <w:t>561</w:t>
      </w:r>
      <w:r w:rsidR="00DB7DFE" w:rsidRPr="00334C8D">
        <w:rPr>
          <w:rFonts w:ascii="Times New Roman" w:hAnsi="Times New Roman"/>
          <w:sz w:val="28"/>
          <w:szCs w:val="28"/>
        </w:rPr>
        <w:t xml:space="preserve"> млн. </w:t>
      </w:r>
      <w:r w:rsidR="009539F9" w:rsidRPr="00334C8D">
        <w:rPr>
          <w:rFonts w:ascii="Times New Roman" w:hAnsi="Times New Roman"/>
          <w:sz w:val="28"/>
          <w:szCs w:val="28"/>
        </w:rPr>
        <w:t>рублей</w:t>
      </w:r>
      <w:r w:rsidR="00F605FD" w:rsidRPr="00334C8D">
        <w:rPr>
          <w:rFonts w:ascii="Times New Roman" w:hAnsi="Times New Roman"/>
          <w:sz w:val="28"/>
          <w:szCs w:val="28"/>
        </w:rPr>
        <w:t>.</w:t>
      </w:r>
      <w:r w:rsidR="0051375A" w:rsidRPr="00334C8D">
        <w:rPr>
          <w:rFonts w:ascii="Times New Roman" w:hAnsi="Times New Roman"/>
          <w:sz w:val="28"/>
          <w:szCs w:val="28"/>
        </w:rPr>
        <w:t xml:space="preserve"> </w:t>
      </w:r>
      <w:r w:rsidR="005C1BD6" w:rsidRPr="00334C8D">
        <w:rPr>
          <w:rFonts w:ascii="Times New Roman" w:hAnsi="Times New Roman"/>
          <w:sz w:val="28"/>
          <w:szCs w:val="28"/>
        </w:rPr>
        <w:t xml:space="preserve"> Доля Банка ВТБ-24 (ПАО)</w:t>
      </w:r>
      <w:r w:rsidR="009539F9" w:rsidRPr="00334C8D">
        <w:rPr>
          <w:rFonts w:ascii="Times New Roman" w:hAnsi="Times New Roman"/>
          <w:sz w:val="28"/>
          <w:szCs w:val="28"/>
        </w:rPr>
        <w:t xml:space="preserve"> составляет </w:t>
      </w:r>
      <w:r w:rsidR="006E0C02">
        <w:rPr>
          <w:rFonts w:ascii="Times New Roman" w:hAnsi="Times New Roman"/>
          <w:sz w:val="28"/>
          <w:szCs w:val="28"/>
        </w:rPr>
        <w:t>28,6</w:t>
      </w:r>
      <w:r w:rsidR="009539F9" w:rsidRPr="00334C8D">
        <w:rPr>
          <w:rFonts w:ascii="Times New Roman" w:hAnsi="Times New Roman"/>
          <w:sz w:val="28"/>
          <w:szCs w:val="28"/>
        </w:rPr>
        <w:t>% от общего объема выданных поручительств. Второ</w:t>
      </w:r>
      <w:r w:rsidR="006E0C02">
        <w:rPr>
          <w:rFonts w:ascii="Times New Roman" w:hAnsi="Times New Roman"/>
          <w:sz w:val="28"/>
          <w:szCs w:val="28"/>
        </w:rPr>
        <w:t xml:space="preserve">е место по объему </w:t>
      </w:r>
      <w:proofErr w:type="gramStart"/>
      <w:r w:rsidR="006E0C02">
        <w:rPr>
          <w:rFonts w:ascii="Times New Roman" w:hAnsi="Times New Roman"/>
          <w:sz w:val="28"/>
          <w:szCs w:val="28"/>
        </w:rPr>
        <w:t>приходится</w:t>
      </w:r>
      <w:proofErr w:type="gramEnd"/>
      <w:r w:rsidR="006E0C02">
        <w:rPr>
          <w:rFonts w:ascii="Times New Roman" w:hAnsi="Times New Roman"/>
          <w:sz w:val="28"/>
          <w:szCs w:val="28"/>
        </w:rPr>
        <w:t xml:space="preserve"> на</w:t>
      </w:r>
      <w:r w:rsidR="009539F9" w:rsidRPr="00334C8D">
        <w:rPr>
          <w:rFonts w:ascii="Times New Roman" w:hAnsi="Times New Roman"/>
          <w:sz w:val="28"/>
          <w:szCs w:val="28"/>
        </w:rPr>
        <w:t xml:space="preserve"> </w:t>
      </w:r>
      <w:r w:rsidR="006E0C02">
        <w:rPr>
          <w:rFonts w:ascii="Times New Roman" w:hAnsi="Times New Roman"/>
          <w:sz w:val="28"/>
          <w:szCs w:val="28"/>
        </w:rPr>
        <w:t>ПАО Сбербанк</w:t>
      </w:r>
      <w:r w:rsidR="00172FDD">
        <w:rPr>
          <w:rFonts w:ascii="Times New Roman" w:hAnsi="Times New Roman"/>
          <w:sz w:val="28"/>
          <w:szCs w:val="28"/>
        </w:rPr>
        <w:t xml:space="preserve"> его доля в общем объеме</w:t>
      </w:r>
      <w:r w:rsidR="009539F9" w:rsidRPr="00334C8D">
        <w:rPr>
          <w:rFonts w:ascii="Times New Roman" w:hAnsi="Times New Roman"/>
          <w:sz w:val="28"/>
          <w:szCs w:val="28"/>
        </w:rPr>
        <w:t xml:space="preserve"> составляет </w:t>
      </w:r>
      <w:r w:rsidR="006E0C02">
        <w:rPr>
          <w:rFonts w:ascii="Times New Roman" w:hAnsi="Times New Roman"/>
          <w:sz w:val="28"/>
          <w:szCs w:val="28"/>
        </w:rPr>
        <w:t>21,1</w:t>
      </w:r>
      <w:r w:rsidR="009539F9" w:rsidRPr="00334C8D">
        <w:rPr>
          <w:rFonts w:ascii="Times New Roman" w:hAnsi="Times New Roman"/>
          <w:sz w:val="28"/>
          <w:szCs w:val="28"/>
        </w:rPr>
        <w:t>%.</w:t>
      </w:r>
      <w:r w:rsidR="005D55E7" w:rsidRPr="00334C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5E7" w:rsidRPr="00334C8D">
        <w:rPr>
          <w:rFonts w:ascii="Times New Roman" w:hAnsi="Times New Roman"/>
          <w:sz w:val="28"/>
          <w:szCs w:val="28"/>
        </w:rPr>
        <w:t>(Таблица</w:t>
      </w:r>
      <w:r w:rsidR="005D55E7" w:rsidRPr="00F605FD">
        <w:rPr>
          <w:rFonts w:ascii="Times New Roman" w:hAnsi="Times New Roman"/>
          <w:sz w:val="26"/>
          <w:szCs w:val="26"/>
        </w:rPr>
        <w:t xml:space="preserve"> 4)</w:t>
      </w:r>
      <w:r w:rsidR="00E46103" w:rsidRPr="00F605FD">
        <w:rPr>
          <w:rFonts w:ascii="Times New Roman" w:hAnsi="Times New Roman"/>
          <w:sz w:val="26"/>
          <w:szCs w:val="26"/>
        </w:rPr>
        <w:t>.</w:t>
      </w:r>
    </w:p>
    <w:p w:rsidR="00334C8D" w:rsidRDefault="00334C8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46103" w:rsidRDefault="008C112E" w:rsidP="008C11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447E0">
        <w:rPr>
          <w:rFonts w:ascii="Times New Roman" w:hAnsi="Times New Roman"/>
          <w:sz w:val="26"/>
          <w:szCs w:val="26"/>
        </w:rPr>
        <w:lastRenderedPageBreak/>
        <w:t>Таблица</w:t>
      </w:r>
      <w:r w:rsidR="00650FCD" w:rsidRPr="008447E0">
        <w:rPr>
          <w:rFonts w:ascii="Times New Roman" w:hAnsi="Times New Roman"/>
          <w:sz w:val="26"/>
          <w:szCs w:val="26"/>
        </w:rPr>
        <w:t xml:space="preserve"> </w:t>
      </w:r>
      <w:r w:rsidR="00B3649B" w:rsidRPr="008447E0">
        <w:rPr>
          <w:rFonts w:ascii="Times New Roman" w:hAnsi="Times New Roman"/>
          <w:sz w:val="26"/>
          <w:szCs w:val="26"/>
        </w:rPr>
        <w:t>4</w:t>
      </w:r>
    </w:p>
    <w:tbl>
      <w:tblPr>
        <w:tblW w:w="9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2695"/>
        <w:gridCol w:w="850"/>
        <w:gridCol w:w="970"/>
        <w:gridCol w:w="873"/>
        <w:gridCol w:w="1233"/>
        <w:gridCol w:w="1400"/>
        <w:gridCol w:w="1400"/>
      </w:tblGrid>
      <w:tr w:rsidR="009F2B52" w:rsidRPr="009F2B52" w:rsidTr="009F2B52">
        <w:trPr>
          <w:trHeight w:val="1350"/>
        </w:trPr>
        <w:tc>
          <w:tcPr>
            <w:tcW w:w="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F2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F2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организации-партнёра</w:t>
            </w:r>
          </w:p>
        </w:tc>
        <w:tc>
          <w:tcPr>
            <w:tcW w:w="18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Поручительства, выданные в 2017 г.</w:t>
            </w:r>
          </w:p>
        </w:tc>
        <w:tc>
          <w:tcPr>
            <w:tcW w:w="210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Поручительства, выданные за весь период деятельности по состоянию на31.12.2017</w:t>
            </w:r>
          </w:p>
        </w:tc>
        <w:tc>
          <w:tcPr>
            <w:tcW w:w="14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кредитов/ займов/ банковских гарантий по заключённым договорам, выданных под поручительства в 2017, тыс. рублей</w:t>
            </w:r>
          </w:p>
        </w:tc>
        <w:tc>
          <w:tcPr>
            <w:tcW w:w="14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кредитов/ займов/ банковских гарантий по заключённым договорам, выданных под поручительство РГО, по состоянию на 31.12.2017, тыс. рублей</w:t>
            </w:r>
          </w:p>
        </w:tc>
      </w:tr>
      <w:tr w:rsidR="009F2B52" w:rsidRPr="009F2B52" w:rsidTr="009F2B52">
        <w:trPr>
          <w:trHeight w:val="1800"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Количество, единиц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Количество, единиц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4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Банк ВТБ 24 (ПАО)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62 378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561 280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158 600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1 146 892</w:t>
            </w: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ПАО "Сбербанк России"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91 986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412 789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198 391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728 541</w:t>
            </w:r>
          </w:p>
        </w:tc>
      </w:tr>
      <w:tr w:rsidR="009F2B52" w:rsidRPr="009F2B52" w:rsidTr="009F2B5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ПАО "Дальневосточный банк"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30 077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116 677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59 580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178 780</w:t>
            </w: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 xml:space="preserve">АО "Банк </w:t>
            </w:r>
            <w:proofErr w:type="spellStart"/>
            <w:r w:rsidRPr="009F2B52">
              <w:rPr>
                <w:rFonts w:ascii="Times New Roman" w:eastAsia="Times New Roman" w:hAnsi="Times New Roman"/>
                <w:lang w:eastAsia="ru-RU"/>
              </w:rPr>
              <w:t>Интеза</w:t>
            </w:r>
            <w:proofErr w:type="spellEnd"/>
            <w:r w:rsidRPr="009F2B5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64 153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43 879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180 820</w:t>
            </w:r>
          </w:p>
        </w:tc>
      </w:tr>
      <w:tr w:rsidR="009F2B52" w:rsidRPr="009F2B52" w:rsidTr="009F2B5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ПАО "Азиатско-Тихоокеанский Банк"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14 000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60 924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37 000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108 600</w:t>
            </w: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ПАО "МТС-Банк"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8 369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152 293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233 383</w:t>
            </w: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ПАО "Промсвязьбанк"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26 600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40 900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92 000</w:t>
            </w:r>
          </w:p>
        </w:tc>
      </w:tr>
      <w:tr w:rsidR="009F2B52" w:rsidRPr="009F2B52" w:rsidTr="009F2B5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ПАО " СКБ Приморья "</w:t>
            </w:r>
            <w:proofErr w:type="spellStart"/>
            <w:r w:rsidRPr="009F2B52">
              <w:rPr>
                <w:rFonts w:ascii="Times New Roman" w:eastAsia="Times New Roman" w:hAnsi="Times New Roman"/>
                <w:lang w:eastAsia="ru-RU"/>
              </w:rPr>
              <w:t>Примсоцбанк</w:t>
            </w:r>
            <w:proofErr w:type="spellEnd"/>
            <w:r w:rsidRPr="009F2B5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3 500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29 525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7 000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70 200</w:t>
            </w:r>
          </w:p>
        </w:tc>
      </w:tr>
      <w:tr w:rsidR="009F2B52" w:rsidRPr="009F2B52" w:rsidTr="009F2B5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АКБ "РОССИЙСКИЙ КАПИТАЛ"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12 250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22 610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28 500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43 300</w:t>
            </w: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АО "</w:t>
            </w:r>
            <w:proofErr w:type="spellStart"/>
            <w:r w:rsidRPr="009F2B52">
              <w:rPr>
                <w:rFonts w:ascii="Times New Roman" w:eastAsia="Times New Roman" w:hAnsi="Times New Roman"/>
                <w:lang w:eastAsia="ru-RU"/>
              </w:rPr>
              <w:t>РоялКредитБанк</w:t>
            </w:r>
            <w:proofErr w:type="spellEnd"/>
            <w:r w:rsidRPr="009F2B5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10 882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25 500</w:t>
            </w: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АО "</w:t>
            </w:r>
            <w:proofErr w:type="spellStart"/>
            <w:r w:rsidRPr="009F2B52">
              <w:rPr>
                <w:rFonts w:ascii="Times New Roman" w:eastAsia="Times New Roman" w:hAnsi="Times New Roman"/>
                <w:lang w:eastAsia="ru-RU"/>
              </w:rPr>
              <w:t>Солид</w:t>
            </w:r>
            <w:proofErr w:type="spellEnd"/>
            <w:r w:rsidRPr="009F2B52">
              <w:rPr>
                <w:rFonts w:ascii="Times New Roman" w:eastAsia="Times New Roman" w:hAnsi="Times New Roman"/>
                <w:lang w:eastAsia="ru-RU"/>
              </w:rPr>
              <w:t xml:space="preserve"> Банк"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17 512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35 775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67 860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96 860</w:t>
            </w: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УМ Банк (ООО)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3 500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10 000</w:t>
            </w: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АО "МСП Банк"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19 340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19 340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606 200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606 200</w:t>
            </w:r>
          </w:p>
        </w:tc>
      </w:tr>
      <w:tr w:rsidR="009F2B52" w:rsidRPr="009F2B52" w:rsidTr="009F2B5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Универсальная лизинговая компания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2B52" w:rsidRPr="009F2B52" w:rsidTr="009F2B5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"ТРАНСКАПИТАЛБАНК" (ПАО)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3 000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3 000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21 000</w:t>
            </w: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МКК "ФПМП ХК"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4 610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4 610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9 900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9 900</w:t>
            </w:r>
          </w:p>
        </w:tc>
      </w:tr>
      <w:tr w:rsidR="009F2B52" w:rsidRPr="009F2B52" w:rsidTr="009F2B5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Фонд развития моногородов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2B52" w:rsidRPr="009F2B52" w:rsidTr="009F2B5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ПАО Банк  "ФК "Открытие"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7 975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65 689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14 250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170 842</w:t>
            </w:r>
          </w:p>
        </w:tc>
      </w:tr>
      <w:tr w:rsidR="009F2B52" w:rsidRPr="009F2B52" w:rsidTr="009F2B5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АКБ "</w:t>
            </w:r>
            <w:proofErr w:type="spellStart"/>
            <w:r w:rsidRPr="009F2B52">
              <w:rPr>
                <w:rFonts w:ascii="Times New Roman" w:eastAsia="Times New Roman" w:hAnsi="Times New Roman"/>
                <w:lang w:eastAsia="ru-RU"/>
              </w:rPr>
              <w:t>Инвестторгбанк</w:t>
            </w:r>
            <w:proofErr w:type="spellEnd"/>
            <w:r w:rsidRPr="009F2B52">
              <w:rPr>
                <w:rFonts w:ascii="Times New Roman" w:eastAsia="Times New Roman" w:hAnsi="Times New Roman"/>
                <w:lang w:eastAsia="ru-RU"/>
              </w:rPr>
              <w:t>" (ПАО)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34 292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72 500</w:t>
            </w:r>
          </w:p>
        </w:tc>
      </w:tr>
      <w:tr w:rsidR="009F2B52" w:rsidRPr="009F2B52" w:rsidTr="009F2B5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Банк ВТБ  (ПАО) (бывший "Банк Москвы</w:t>
            </w:r>
            <w:proofErr w:type="gramStart"/>
            <w:r w:rsidRPr="009F2B52">
              <w:rPr>
                <w:rFonts w:ascii="Times New Roman" w:eastAsia="Times New Roman" w:hAnsi="Times New Roman"/>
                <w:lang w:eastAsia="ru-RU"/>
              </w:rPr>
              <w:t>"(</w:t>
            </w:r>
            <w:proofErr w:type="gramEnd"/>
            <w:r w:rsidRPr="009F2B52">
              <w:rPr>
                <w:rFonts w:ascii="Times New Roman" w:eastAsia="Times New Roman" w:hAnsi="Times New Roman"/>
                <w:lang w:eastAsia="ru-RU"/>
              </w:rPr>
              <w:t>ПАО))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125 001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233 870</w:t>
            </w: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АО "</w:t>
            </w:r>
            <w:proofErr w:type="spellStart"/>
            <w:r w:rsidRPr="009F2B52">
              <w:rPr>
                <w:rFonts w:ascii="Times New Roman" w:eastAsia="Times New Roman" w:hAnsi="Times New Roman"/>
                <w:lang w:eastAsia="ru-RU"/>
              </w:rPr>
              <w:t>Россельхозбанк</w:t>
            </w:r>
            <w:proofErr w:type="spellEnd"/>
            <w:r w:rsidRPr="009F2B5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172 963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323 450</w:t>
            </w: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АО "Банк Уссури"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ПАО БИНБАНК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13 054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22 185</w:t>
            </w:r>
          </w:p>
        </w:tc>
      </w:tr>
      <w:tr w:rsidR="009F2B52" w:rsidRPr="009F2B52" w:rsidTr="009F2B5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АКБ "</w:t>
            </w:r>
            <w:proofErr w:type="spellStart"/>
            <w:r w:rsidRPr="009F2B52">
              <w:rPr>
                <w:rFonts w:ascii="Times New Roman" w:eastAsia="Times New Roman" w:hAnsi="Times New Roman"/>
                <w:lang w:eastAsia="ru-RU"/>
              </w:rPr>
              <w:t>Алмазэргиэнбанк</w:t>
            </w:r>
            <w:proofErr w:type="spellEnd"/>
            <w:r w:rsidRPr="009F2B52">
              <w:rPr>
                <w:rFonts w:ascii="Times New Roman" w:eastAsia="Times New Roman" w:hAnsi="Times New Roman"/>
                <w:lang w:eastAsia="ru-RU"/>
              </w:rPr>
              <w:t>" (АО)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2B52" w:rsidRPr="009F2B52" w:rsidTr="009F2B5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 xml:space="preserve"> Банк "Возрождение "(ПАО)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6 420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30 100</w:t>
            </w:r>
          </w:p>
        </w:tc>
      </w:tr>
      <w:tr w:rsidR="009F2B52" w:rsidRPr="009F2B52" w:rsidTr="009F2B5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 xml:space="preserve">КБ "ЮНИАСТРУМ БАНК" (ООО)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5 177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10 000</w:t>
            </w:r>
          </w:p>
        </w:tc>
      </w:tr>
      <w:tr w:rsidR="009F2B52" w:rsidRPr="009F2B52" w:rsidTr="009F2B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b/>
                <w:bCs/>
                <w:lang w:eastAsia="ru-RU"/>
              </w:rPr>
              <w:t>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b/>
                <w:bCs/>
                <w:lang w:eastAsia="ru-RU"/>
              </w:rPr>
              <w:t>322 596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b/>
                <w:bCs/>
                <w:lang w:eastAsia="ru-RU"/>
              </w:rPr>
              <w:t>470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b/>
                <w:bCs/>
                <w:lang w:eastAsia="ru-RU"/>
              </w:rPr>
              <w:t>1 960 854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b/>
                <w:bCs/>
                <w:lang w:eastAsia="ru-RU"/>
              </w:rPr>
              <w:t>1 322 161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2B52" w:rsidRPr="009F2B52" w:rsidRDefault="009F2B52" w:rsidP="009F2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2B52">
              <w:rPr>
                <w:rFonts w:ascii="Times New Roman" w:eastAsia="Times New Roman" w:hAnsi="Times New Roman"/>
                <w:b/>
                <w:bCs/>
                <w:lang w:eastAsia="ru-RU"/>
              </w:rPr>
              <w:t>4 414 924</w:t>
            </w:r>
          </w:p>
        </w:tc>
      </w:tr>
    </w:tbl>
    <w:p w:rsidR="009F2B52" w:rsidRDefault="009F2B52" w:rsidP="008C11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F2B52" w:rsidRDefault="009F2B52" w:rsidP="008C11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16F5E" w:rsidRDefault="0048795C" w:rsidP="00E16F5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45C2C">
        <w:rPr>
          <w:rFonts w:ascii="Times New Roman" w:hAnsi="Times New Roman"/>
          <w:sz w:val="28"/>
          <w:szCs w:val="28"/>
        </w:rPr>
        <w:lastRenderedPageBreak/>
        <w:t xml:space="preserve">Наибольшее количество поручительств </w:t>
      </w:r>
      <w:r w:rsidR="00DD7EFE" w:rsidRPr="00D45C2C">
        <w:rPr>
          <w:rFonts w:ascii="Times New Roman" w:hAnsi="Times New Roman"/>
          <w:sz w:val="28"/>
          <w:szCs w:val="28"/>
        </w:rPr>
        <w:t>за период с начала деятельности по 01.01.201</w:t>
      </w:r>
      <w:r w:rsidR="00334C8D" w:rsidRPr="00D45C2C">
        <w:rPr>
          <w:rFonts w:ascii="Times New Roman" w:hAnsi="Times New Roman"/>
          <w:sz w:val="28"/>
          <w:szCs w:val="28"/>
        </w:rPr>
        <w:t>8</w:t>
      </w:r>
      <w:r w:rsidR="00DD7EFE" w:rsidRPr="00D45C2C">
        <w:rPr>
          <w:rFonts w:ascii="Times New Roman" w:hAnsi="Times New Roman"/>
          <w:sz w:val="28"/>
          <w:szCs w:val="28"/>
        </w:rPr>
        <w:t xml:space="preserve"> года </w:t>
      </w:r>
      <w:r w:rsidRPr="00D45C2C">
        <w:rPr>
          <w:rFonts w:ascii="Times New Roman" w:hAnsi="Times New Roman"/>
          <w:sz w:val="28"/>
          <w:szCs w:val="28"/>
        </w:rPr>
        <w:t>предоставлено субъектам малого и среднего предпринимательства</w:t>
      </w:r>
      <w:r w:rsidR="00FE0D67" w:rsidRPr="00D45C2C">
        <w:rPr>
          <w:rFonts w:ascii="Times New Roman" w:hAnsi="Times New Roman"/>
          <w:sz w:val="28"/>
          <w:szCs w:val="28"/>
        </w:rPr>
        <w:t>,</w:t>
      </w:r>
      <w:r w:rsidRPr="00D45C2C">
        <w:rPr>
          <w:rFonts w:ascii="Times New Roman" w:hAnsi="Times New Roman"/>
          <w:sz w:val="28"/>
          <w:szCs w:val="28"/>
        </w:rPr>
        <w:t xml:space="preserve"> зарегистрированным и осуществляющим деятельность в г. Хабаровске – </w:t>
      </w:r>
      <w:r w:rsidR="00872D41" w:rsidRPr="00D45C2C">
        <w:rPr>
          <w:rFonts w:ascii="Times New Roman" w:hAnsi="Times New Roman"/>
          <w:sz w:val="28"/>
          <w:szCs w:val="28"/>
        </w:rPr>
        <w:t>3</w:t>
      </w:r>
      <w:r w:rsidR="007F2B21" w:rsidRPr="00D45C2C">
        <w:rPr>
          <w:rFonts w:ascii="Times New Roman" w:hAnsi="Times New Roman"/>
          <w:sz w:val="28"/>
          <w:szCs w:val="28"/>
        </w:rPr>
        <w:t>9</w:t>
      </w:r>
      <w:r w:rsidR="00872D41" w:rsidRPr="00D45C2C">
        <w:rPr>
          <w:rFonts w:ascii="Times New Roman" w:hAnsi="Times New Roman"/>
          <w:sz w:val="28"/>
          <w:szCs w:val="28"/>
        </w:rPr>
        <w:t>1</w:t>
      </w:r>
      <w:r w:rsidRPr="00D45C2C">
        <w:rPr>
          <w:rFonts w:ascii="Times New Roman" w:hAnsi="Times New Roman"/>
          <w:sz w:val="28"/>
          <w:szCs w:val="28"/>
        </w:rPr>
        <w:t xml:space="preserve">, что составляет </w:t>
      </w:r>
      <w:r w:rsidR="007F2B21" w:rsidRPr="00D45C2C">
        <w:rPr>
          <w:rFonts w:ascii="Times New Roman" w:hAnsi="Times New Roman"/>
          <w:sz w:val="28"/>
          <w:szCs w:val="28"/>
        </w:rPr>
        <w:t>83,2</w:t>
      </w:r>
      <w:r w:rsidRPr="00D45C2C">
        <w:rPr>
          <w:rFonts w:ascii="Times New Roman" w:hAnsi="Times New Roman"/>
          <w:sz w:val="28"/>
          <w:szCs w:val="28"/>
        </w:rPr>
        <w:t xml:space="preserve"> % от общего количества всех выданных поручительств.</w:t>
      </w:r>
      <w:r w:rsidR="00722F89" w:rsidRPr="00D45C2C">
        <w:rPr>
          <w:rFonts w:ascii="Times New Roman" w:hAnsi="Times New Roman"/>
          <w:sz w:val="28"/>
          <w:szCs w:val="28"/>
        </w:rPr>
        <w:t xml:space="preserve"> </w:t>
      </w:r>
      <w:r w:rsidRPr="00D45C2C">
        <w:rPr>
          <w:rFonts w:ascii="Times New Roman" w:hAnsi="Times New Roman"/>
          <w:sz w:val="28"/>
          <w:szCs w:val="28"/>
        </w:rPr>
        <w:t>На районы Хабаровского края, включая г. Комсомольск на Амуре</w:t>
      </w:r>
      <w:r w:rsidR="00FE0D67" w:rsidRPr="00D45C2C">
        <w:rPr>
          <w:rFonts w:ascii="Times New Roman" w:hAnsi="Times New Roman"/>
          <w:sz w:val="28"/>
          <w:szCs w:val="28"/>
        </w:rPr>
        <w:t>,</w:t>
      </w:r>
      <w:r w:rsidRPr="00D45C2C">
        <w:rPr>
          <w:rFonts w:ascii="Times New Roman" w:hAnsi="Times New Roman"/>
          <w:sz w:val="28"/>
          <w:szCs w:val="28"/>
        </w:rPr>
        <w:t xml:space="preserve"> пр</w:t>
      </w:r>
      <w:r w:rsidR="00FE0D67" w:rsidRPr="00D45C2C">
        <w:rPr>
          <w:rFonts w:ascii="Times New Roman" w:hAnsi="Times New Roman"/>
          <w:sz w:val="28"/>
          <w:szCs w:val="28"/>
        </w:rPr>
        <w:t>иходится</w:t>
      </w:r>
      <w:r w:rsidRPr="00D45C2C">
        <w:rPr>
          <w:rFonts w:ascii="Times New Roman" w:hAnsi="Times New Roman"/>
          <w:sz w:val="28"/>
          <w:szCs w:val="28"/>
        </w:rPr>
        <w:t xml:space="preserve"> </w:t>
      </w:r>
      <w:r w:rsidR="00D45C2C" w:rsidRPr="00D45C2C">
        <w:rPr>
          <w:rFonts w:ascii="Times New Roman" w:hAnsi="Times New Roman"/>
          <w:sz w:val="28"/>
          <w:szCs w:val="28"/>
        </w:rPr>
        <w:t>16,8</w:t>
      </w:r>
      <w:r w:rsidRPr="00D45C2C">
        <w:rPr>
          <w:rFonts w:ascii="Times New Roman" w:hAnsi="Times New Roman"/>
          <w:sz w:val="28"/>
          <w:szCs w:val="28"/>
        </w:rPr>
        <w:t xml:space="preserve"> %. (таблица 5)</w:t>
      </w:r>
      <w:r w:rsidR="00722F89" w:rsidRPr="00D45C2C">
        <w:rPr>
          <w:rFonts w:ascii="Times New Roman" w:hAnsi="Times New Roman"/>
          <w:sz w:val="28"/>
          <w:szCs w:val="28"/>
        </w:rPr>
        <w:t xml:space="preserve"> и рис.4.</w:t>
      </w:r>
      <w:r w:rsidR="000F73AB" w:rsidRPr="00D45C2C">
        <w:rPr>
          <w:rFonts w:ascii="Times New Roman" w:hAnsi="Times New Roman"/>
          <w:sz w:val="28"/>
          <w:szCs w:val="28"/>
        </w:rPr>
        <w:t xml:space="preserve"> </w:t>
      </w:r>
      <w:r w:rsidR="00E16F5E">
        <w:rPr>
          <w:rFonts w:ascii="Times New Roman" w:hAnsi="Times New Roman"/>
          <w:sz w:val="28"/>
          <w:szCs w:val="28"/>
        </w:rPr>
        <w:t xml:space="preserve">По сравнению с показателями 2016 года </w:t>
      </w:r>
      <w:r w:rsidR="00D45C2C" w:rsidRPr="00D45C2C">
        <w:rPr>
          <w:rFonts w:ascii="Times New Roman" w:hAnsi="Times New Roman"/>
          <w:sz w:val="28"/>
          <w:szCs w:val="28"/>
        </w:rPr>
        <w:t xml:space="preserve">произошел рост доли </w:t>
      </w:r>
      <w:r w:rsidR="00ED56FC">
        <w:rPr>
          <w:rFonts w:ascii="Times New Roman" w:hAnsi="Times New Roman"/>
          <w:sz w:val="28"/>
          <w:szCs w:val="28"/>
        </w:rPr>
        <w:t>поручитель</w:t>
      </w:r>
      <w:proofErr w:type="gramStart"/>
      <w:r w:rsidR="00ED56FC">
        <w:rPr>
          <w:rFonts w:ascii="Times New Roman" w:hAnsi="Times New Roman"/>
          <w:sz w:val="28"/>
          <w:szCs w:val="28"/>
        </w:rPr>
        <w:t>ств пр</w:t>
      </w:r>
      <w:proofErr w:type="gramEnd"/>
      <w:r w:rsidR="00ED56FC">
        <w:rPr>
          <w:rFonts w:ascii="Times New Roman" w:hAnsi="Times New Roman"/>
          <w:sz w:val="28"/>
          <w:szCs w:val="28"/>
        </w:rPr>
        <w:t xml:space="preserve">едоставленных предпринимателям г. </w:t>
      </w:r>
      <w:r w:rsidR="00E16F5E">
        <w:rPr>
          <w:rFonts w:ascii="Times New Roman" w:hAnsi="Times New Roman"/>
          <w:sz w:val="28"/>
          <w:szCs w:val="28"/>
        </w:rPr>
        <w:t xml:space="preserve">Комсомольска-на-Амуре </w:t>
      </w:r>
      <w:r w:rsidR="00D45C2C" w:rsidRPr="00D45C2C">
        <w:rPr>
          <w:rFonts w:ascii="Times New Roman" w:hAnsi="Times New Roman"/>
          <w:sz w:val="28"/>
          <w:szCs w:val="28"/>
        </w:rPr>
        <w:t xml:space="preserve"> на </w:t>
      </w:r>
      <w:r w:rsidR="00D45C2C" w:rsidRPr="009973F1">
        <w:rPr>
          <w:rFonts w:ascii="Times New Roman" w:hAnsi="Times New Roman"/>
          <w:b/>
          <w:sz w:val="28"/>
          <w:szCs w:val="28"/>
        </w:rPr>
        <w:t>1,5%.</w:t>
      </w:r>
    </w:p>
    <w:p w:rsidR="00E16F5E" w:rsidRDefault="00E16F5E" w:rsidP="009A7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16F5E" w:rsidRDefault="00E16F5E" w:rsidP="009A7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31B0300" wp14:editId="11FF21DF">
            <wp:extent cx="5605669" cy="3647661"/>
            <wp:effectExtent l="0" t="0" r="14605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48795C" w:rsidRPr="00E16F5E" w:rsidRDefault="00722F89" w:rsidP="009A7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6F5E">
        <w:rPr>
          <w:rFonts w:ascii="Times New Roman" w:hAnsi="Times New Roman"/>
          <w:sz w:val="26"/>
          <w:szCs w:val="26"/>
        </w:rPr>
        <w:t>Рис.4</w:t>
      </w:r>
      <w:r w:rsidR="00DD7EFE" w:rsidRPr="00E16F5E">
        <w:rPr>
          <w:rFonts w:ascii="Times New Roman" w:hAnsi="Times New Roman"/>
          <w:sz w:val="26"/>
          <w:szCs w:val="26"/>
        </w:rPr>
        <w:t xml:space="preserve"> Объем поручительств по месту ведения деятельности.</w:t>
      </w:r>
    </w:p>
    <w:p w:rsidR="0048795C" w:rsidRPr="00A72844" w:rsidRDefault="0048795C" w:rsidP="009A7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F73AB" w:rsidRDefault="000F73AB" w:rsidP="00ED56FC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ED56FC">
        <w:rPr>
          <w:rFonts w:ascii="Times New Roman" w:hAnsi="Times New Roman"/>
          <w:sz w:val="26"/>
          <w:szCs w:val="26"/>
        </w:rPr>
        <w:t>Таблица 5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940"/>
        <w:gridCol w:w="1540"/>
        <w:gridCol w:w="1900"/>
        <w:gridCol w:w="2180"/>
      </w:tblGrid>
      <w:tr w:rsidR="00ED56FC" w:rsidRPr="00ED56FC" w:rsidTr="00ED56FC">
        <w:trPr>
          <w:trHeight w:val="37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Место ведения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Доля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Сумма поручительства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.Х</w:t>
            </w:r>
            <w:proofErr w:type="gramEnd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абаровск</w:t>
            </w:r>
            <w:proofErr w:type="spellEnd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391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83,19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1 643 063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омсомольск</w:t>
            </w:r>
            <w:proofErr w:type="spellEnd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Амуре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5,74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84 057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г. Советская Гавань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2,13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36 248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г. Амурск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0,85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39 342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иколаевск</w:t>
            </w:r>
            <w:proofErr w:type="spellEnd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Амуре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950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Start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анино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0,43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9 450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Хабаровский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109 586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Ульчский</w:t>
            </w:r>
            <w:proofErr w:type="spellEnd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6 769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Солнечный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2 403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р-н </w:t>
            </w:r>
            <w:proofErr w:type="spellStart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им</w:t>
            </w:r>
            <w:proofErr w:type="gramStart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азо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0,85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15 904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Нанайский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1 630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Тугуро-Чумиканский</w:t>
            </w:r>
            <w:proofErr w:type="spellEnd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10 000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Верхнебуреинский</w:t>
            </w:r>
            <w:proofErr w:type="spellEnd"/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lang w:eastAsia="ru-RU"/>
              </w:rPr>
              <w:t>1 450</w:t>
            </w:r>
          </w:p>
        </w:tc>
      </w:tr>
      <w:tr w:rsidR="00ED56FC" w:rsidRPr="00ED56FC" w:rsidTr="00ED56F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56FC" w:rsidRPr="00ED56FC" w:rsidRDefault="00ED56FC" w:rsidP="00ED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56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1 960 854</w:t>
            </w:r>
          </w:p>
        </w:tc>
      </w:tr>
    </w:tbl>
    <w:p w:rsidR="00ED56FC" w:rsidRDefault="00ED56FC" w:rsidP="00ED56F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F85905" w:rsidRPr="00B01160" w:rsidRDefault="00650FCD" w:rsidP="00B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 состоянию на 01.01.201</w:t>
      </w:r>
      <w:r w:rsidR="00A72844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портфель поручительств Гарантийного фонда </w:t>
      </w:r>
      <w:r w:rsidR="00977F2A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составил </w:t>
      </w:r>
      <w:r w:rsidR="00A72844" w:rsidRPr="00B0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681</w:t>
      </w:r>
      <w:r w:rsidR="001D4A38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019B" w:rsidRPr="00B0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млн. </w:t>
      </w:r>
      <w:r w:rsidR="00A72844" w:rsidRPr="00B0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570 </w:t>
      </w:r>
      <w:r w:rsidR="00DE019B" w:rsidRPr="00B0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тыс. руб.,</w:t>
      </w:r>
      <w:r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действующих договоров поручительств </w:t>
      </w:r>
      <w:r w:rsidR="00A72844" w:rsidRPr="00B0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150</w:t>
      </w:r>
      <w:r w:rsidR="00184C8F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75A36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разрезе банков</w:t>
      </w:r>
      <w:r w:rsidR="00FE0D67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партнеров портфель поручитель</w:t>
      </w:r>
      <w:proofErr w:type="gramStart"/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 </w:t>
      </w:r>
      <w:r w:rsidR="004F5710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="004F5710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едставлен </w:t>
      </w:r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974798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рис.</w:t>
      </w:r>
      <w:r w:rsidR="00722F89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2250" w:rsidRPr="00AE4039" w:rsidRDefault="00150247" w:rsidP="001D4A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BD88573" wp14:editId="3BAB7250">
            <wp:extent cx="5939790" cy="4996927"/>
            <wp:effectExtent l="0" t="0" r="381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 w:rsidR="001D4A38">
        <w:t xml:space="preserve">  </w:t>
      </w:r>
      <w:r w:rsidR="00974798" w:rsidRPr="00AE4039">
        <w:rPr>
          <w:rFonts w:ascii="Times New Roman" w:hAnsi="Times New Roman"/>
          <w:sz w:val="26"/>
          <w:szCs w:val="26"/>
        </w:rPr>
        <w:t>Рис.</w:t>
      </w:r>
      <w:r w:rsidR="00722F89">
        <w:rPr>
          <w:rFonts w:ascii="Times New Roman" w:hAnsi="Times New Roman"/>
          <w:sz w:val="26"/>
          <w:szCs w:val="26"/>
        </w:rPr>
        <w:t>5</w:t>
      </w:r>
      <w:r w:rsidR="00974798" w:rsidRPr="00AE4039">
        <w:rPr>
          <w:rFonts w:ascii="Times New Roman" w:hAnsi="Times New Roman"/>
          <w:sz w:val="26"/>
          <w:szCs w:val="26"/>
        </w:rPr>
        <w:t xml:space="preserve">  </w:t>
      </w:r>
      <w:r w:rsidR="00DD7EFE">
        <w:rPr>
          <w:rFonts w:ascii="Times New Roman" w:hAnsi="Times New Roman"/>
          <w:sz w:val="26"/>
          <w:szCs w:val="26"/>
        </w:rPr>
        <w:t>Портфель поручительств по банкам-партнерам</w:t>
      </w:r>
      <w:r w:rsidR="001D4A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тыс</w:t>
      </w:r>
      <w:r w:rsidR="001D4A38">
        <w:rPr>
          <w:rFonts w:ascii="Times New Roman" w:hAnsi="Times New Roman"/>
          <w:sz w:val="26"/>
          <w:szCs w:val="26"/>
        </w:rPr>
        <w:t>. руб.</w:t>
      </w:r>
    </w:p>
    <w:p w:rsidR="00AB3F7B" w:rsidRDefault="00AB3F7B" w:rsidP="0045285D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CAF" w:rsidRDefault="004F3B35" w:rsidP="00AB3F7B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B3F7B">
        <w:rPr>
          <w:rFonts w:ascii="Times New Roman" w:hAnsi="Times New Roman"/>
          <w:sz w:val="28"/>
          <w:szCs w:val="28"/>
        </w:rPr>
        <w:t xml:space="preserve">В отчетном периоде Гарантийным фондом </w:t>
      </w:r>
      <w:r w:rsidR="00EF633D" w:rsidRPr="00AB3F7B">
        <w:rPr>
          <w:rFonts w:ascii="Times New Roman" w:hAnsi="Times New Roman"/>
          <w:sz w:val="28"/>
          <w:szCs w:val="28"/>
        </w:rPr>
        <w:t xml:space="preserve">рассмотрено </w:t>
      </w:r>
      <w:r w:rsidR="008E7D42">
        <w:rPr>
          <w:rFonts w:ascii="Times New Roman" w:hAnsi="Times New Roman"/>
          <w:sz w:val="28"/>
          <w:szCs w:val="28"/>
        </w:rPr>
        <w:t>98</w:t>
      </w:r>
      <w:r w:rsidR="00977F2A" w:rsidRPr="00AB3F7B">
        <w:rPr>
          <w:rFonts w:ascii="Times New Roman" w:hAnsi="Times New Roman"/>
          <w:sz w:val="28"/>
          <w:szCs w:val="28"/>
        </w:rPr>
        <w:t xml:space="preserve"> </w:t>
      </w:r>
      <w:r w:rsidR="00EF633D" w:rsidRPr="00AB3F7B">
        <w:rPr>
          <w:rFonts w:ascii="Times New Roman" w:hAnsi="Times New Roman"/>
          <w:sz w:val="28"/>
          <w:szCs w:val="28"/>
        </w:rPr>
        <w:t>зая</w:t>
      </w:r>
      <w:r w:rsidR="00F07CEB" w:rsidRPr="00AB3F7B">
        <w:rPr>
          <w:rFonts w:ascii="Times New Roman" w:hAnsi="Times New Roman"/>
          <w:sz w:val="28"/>
          <w:szCs w:val="28"/>
        </w:rPr>
        <w:t>вок</w:t>
      </w:r>
      <w:r w:rsidR="00977F2A" w:rsidRPr="00AB3F7B">
        <w:rPr>
          <w:rFonts w:ascii="Times New Roman" w:hAnsi="Times New Roman"/>
          <w:sz w:val="28"/>
          <w:szCs w:val="28"/>
        </w:rPr>
        <w:t xml:space="preserve"> на предоставление поручительства, </w:t>
      </w:r>
      <w:r w:rsidR="00426CAF">
        <w:rPr>
          <w:rFonts w:ascii="Times New Roman" w:hAnsi="Times New Roman"/>
          <w:sz w:val="28"/>
          <w:szCs w:val="28"/>
        </w:rPr>
        <w:t xml:space="preserve">что на 42% </w:t>
      </w:r>
      <w:r w:rsidR="009973F1">
        <w:rPr>
          <w:rFonts w:ascii="Times New Roman" w:hAnsi="Times New Roman"/>
          <w:sz w:val="28"/>
          <w:szCs w:val="28"/>
        </w:rPr>
        <w:t>выше</w:t>
      </w:r>
      <w:r w:rsidR="00426CAF">
        <w:rPr>
          <w:rFonts w:ascii="Times New Roman" w:hAnsi="Times New Roman"/>
          <w:sz w:val="28"/>
          <w:szCs w:val="28"/>
        </w:rPr>
        <w:t xml:space="preserve"> </w:t>
      </w:r>
      <w:r w:rsidR="009973F1">
        <w:rPr>
          <w:rFonts w:ascii="Times New Roman" w:hAnsi="Times New Roman"/>
          <w:sz w:val="28"/>
          <w:szCs w:val="28"/>
        </w:rPr>
        <w:t>значений</w:t>
      </w:r>
      <w:r w:rsidR="00426CAF">
        <w:rPr>
          <w:rFonts w:ascii="Times New Roman" w:hAnsi="Times New Roman"/>
          <w:sz w:val="28"/>
          <w:szCs w:val="28"/>
        </w:rPr>
        <w:t xml:space="preserve"> 2016 года.</w:t>
      </w:r>
    </w:p>
    <w:p w:rsidR="00977F2A" w:rsidRPr="00AB3F7B" w:rsidRDefault="00426CAF" w:rsidP="00AB3F7B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9973F1">
        <w:rPr>
          <w:rFonts w:ascii="Times New Roman" w:hAnsi="Times New Roman"/>
          <w:sz w:val="28"/>
          <w:szCs w:val="28"/>
        </w:rPr>
        <w:t>добрен</w:t>
      </w:r>
      <w:r w:rsidR="00977F2A" w:rsidRPr="00AB3F7B">
        <w:rPr>
          <w:rFonts w:ascii="Times New Roman" w:hAnsi="Times New Roman"/>
          <w:sz w:val="28"/>
          <w:szCs w:val="28"/>
        </w:rPr>
        <w:t xml:space="preserve"> </w:t>
      </w:r>
      <w:r w:rsidR="009973F1">
        <w:rPr>
          <w:rFonts w:ascii="Times New Roman" w:hAnsi="Times New Roman"/>
          <w:sz w:val="28"/>
          <w:szCs w:val="28"/>
        </w:rPr>
        <w:t>81 проект</w:t>
      </w:r>
      <w:r w:rsidR="00977F2A" w:rsidRPr="00AB3F7B">
        <w:rPr>
          <w:rFonts w:ascii="Times New Roman" w:hAnsi="Times New Roman"/>
          <w:sz w:val="28"/>
          <w:szCs w:val="28"/>
        </w:rPr>
        <w:t xml:space="preserve"> (8</w:t>
      </w:r>
      <w:r w:rsidR="008E7D42">
        <w:rPr>
          <w:rFonts w:ascii="Times New Roman" w:hAnsi="Times New Roman"/>
          <w:sz w:val="28"/>
          <w:szCs w:val="28"/>
        </w:rPr>
        <w:t>3</w:t>
      </w:r>
      <w:r w:rsidR="00977F2A" w:rsidRPr="00AB3F7B">
        <w:rPr>
          <w:rFonts w:ascii="Times New Roman" w:hAnsi="Times New Roman"/>
          <w:sz w:val="28"/>
          <w:szCs w:val="28"/>
        </w:rPr>
        <w:t>%), отказано в предоставлении поручительства по</w:t>
      </w:r>
      <w:r w:rsidR="009973F1">
        <w:rPr>
          <w:rFonts w:ascii="Times New Roman" w:hAnsi="Times New Roman"/>
          <w:sz w:val="28"/>
          <w:szCs w:val="28"/>
        </w:rPr>
        <w:t xml:space="preserve"> </w:t>
      </w:r>
      <w:bookmarkStart w:id="12" w:name="_GoBack"/>
      <w:bookmarkEnd w:id="12"/>
      <w:r w:rsidR="008E7D42">
        <w:rPr>
          <w:rFonts w:ascii="Times New Roman" w:hAnsi="Times New Roman"/>
          <w:sz w:val="28"/>
          <w:szCs w:val="28"/>
        </w:rPr>
        <w:t>17</w:t>
      </w:r>
      <w:r w:rsidR="00977F2A" w:rsidRPr="00AB3F7B">
        <w:rPr>
          <w:rFonts w:ascii="Times New Roman" w:hAnsi="Times New Roman"/>
          <w:sz w:val="28"/>
          <w:szCs w:val="28"/>
        </w:rPr>
        <w:t xml:space="preserve"> заявк</w:t>
      </w:r>
      <w:r w:rsidR="00F07CEB" w:rsidRPr="00AB3F7B">
        <w:rPr>
          <w:rFonts w:ascii="Times New Roman" w:hAnsi="Times New Roman"/>
          <w:sz w:val="28"/>
          <w:szCs w:val="28"/>
        </w:rPr>
        <w:t>ам</w:t>
      </w:r>
      <w:r w:rsidR="00977F2A" w:rsidRPr="00AB3F7B">
        <w:rPr>
          <w:rFonts w:ascii="Times New Roman" w:hAnsi="Times New Roman"/>
          <w:sz w:val="28"/>
          <w:szCs w:val="28"/>
        </w:rPr>
        <w:t xml:space="preserve"> (</w:t>
      </w:r>
      <w:r w:rsidR="008E7D42">
        <w:rPr>
          <w:rFonts w:ascii="Times New Roman" w:hAnsi="Times New Roman"/>
          <w:sz w:val="28"/>
          <w:szCs w:val="28"/>
        </w:rPr>
        <w:t>17</w:t>
      </w:r>
      <w:r w:rsidR="00977F2A" w:rsidRPr="00AB3F7B">
        <w:rPr>
          <w:rFonts w:ascii="Times New Roman" w:hAnsi="Times New Roman"/>
          <w:sz w:val="28"/>
          <w:szCs w:val="28"/>
        </w:rPr>
        <w:t xml:space="preserve">%). Из числа одобренных проектов с субъектами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 заключено</w:t>
      </w:r>
      <w:r w:rsidR="00977F2A" w:rsidRPr="00AB3F7B">
        <w:rPr>
          <w:rFonts w:ascii="Times New Roman" w:hAnsi="Times New Roman"/>
          <w:sz w:val="28"/>
          <w:szCs w:val="28"/>
        </w:rPr>
        <w:t xml:space="preserve"> </w:t>
      </w:r>
      <w:r w:rsidR="008E7D42">
        <w:rPr>
          <w:rFonts w:ascii="Times New Roman" w:hAnsi="Times New Roman"/>
          <w:sz w:val="28"/>
          <w:szCs w:val="28"/>
        </w:rPr>
        <w:t>65</w:t>
      </w:r>
      <w:r w:rsidR="00977F2A" w:rsidRPr="00AB3F7B">
        <w:rPr>
          <w:rFonts w:ascii="Times New Roman" w:hAnsi="Times New Roman"/>
          <w:sz w:val="28"/>
          <w:szCs w:val="28"/>
        </w:rPr>
        <w:t xml:space="preserve"> договоров поручительства на сумму </w:t>
      </w:r>
      <w:r>
        <w:rPr>
          <w:rFonts w:ascii="Times New Roman" w:hAnsi="Times New Roman"/>
          <w:sz w:val="28"/>
          <w:szCs w:val="28"/>
        </w:rPr>
        <w:t>323</w:t>
      </w:r>
      <w:r w:rsidR="00977F2A" w:rsidRPr="00AB3F7B">
        <w:rPr>
          <w:rFonts w:ascii="Times New Roman" w:hAnsi="Times New Roman"/>
          <w:sz w:val="28"/>
          <w:szCs w:val="28"/>
        </w:rPr>
        <w:t xml:space="preserve"> млн. руб.</w:t>
      </w:r>
      <w:r w:rsidR="004F3B35" w:rsidRPr="00AB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позволило </w:t>
      </w:r>
      <w:r w:rsidR="00825602" w:rsidRPr="00AB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субъектам малого и среднего предпринимательства Хабаровского края </w:t>
      </w:r>
      <w:r w:rsidR="004F3B35" w:rsidRPr="00AB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привлечь финансовых  ресурсов в размере </w:t>
      </w:r>
      <w:r w:rsidR="008E7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млрд. 322</w:t>
      </w:r>
      <w:r w:rsidR="004F3B35" w:rsidRPr="00AB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млн.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</w:t>
      </w:r>
      <w:r w:rsidR="005520A1" w:rsidRPr="00AB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520A1" w:rsidRPr="00E42CED" w:rsidRDefault="000F73AB" w:rsidP="0045285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:rsidR="005E686B" w:rsidRDefault="004F3B35" w:rsidP="0045285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4039"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C41824" w:rsidRPr="00AE4039">
        <w:rPr>
          <w:rFonts w:ascii="Times New Roman" w:hAnsi="Times New Roman"/>
          <w:sz w:val="26"/>
          <w:szCs w:val="26"/>
        </w:rPr>
        <w:t xml:space="preserve">География предоставления поручительств </w:t>
      </w:r>
      <w:r w:rsidR="00C41824" w:rsidRPr="0045285D">
        <w:rPr>
          <w:rFonts w:ascii="Times New Roman" w:hAnsi="Times New Roman"/>
          <w:sz w:val="26"/>
          <w:szCs w:val="26"/>
        </w:rPr>
        <w:t xml:space="preserve">в </w:t>
      </w:r>
      <w:r w:rsidR="000A4818">
        <w:rPr>
          <w:rFonts w:ascii="Times New Roman" w:hAnsi="Times New Roman"/>
          <w:sz w:val="26"/>
          <w:szCs w:val="26"/>
        </w:rPr>
        <w:t>2017</w:t>
      </w:r>
      <w:r w:rsidR="00C41824" w:rsidRPr="0045285D">
        <w:rPr>
          <w:rFonts w:ascii="Times New Roman" w:hAnsi="Times New Roman"/>
          <w:sz w:val="26"/>
          <w:szCs w:val="26"/>
        </w:rPr>
        <w:t xml:space="preserve"> году</w:t>
      </w:r>
      <w:r w:rsidR="00C41824" w:rsidRPr="00AE4039">
        <w:rPr>
          <w:rFonts w:ascii="Times New Roman" w:hAnsi="Times New Roman"/>
          <w:sz w:val="26"/>
          <w:szCs w:val="26"/>
        </w:rPr>
        <w:t xml:space="preserve"> Гарант</w:t>
      </w:r>
      <w:r w:rsidR="00C136DB" w:rsidRPr="00AE4039">
        <w:rPr>
          <w:rFonts w:ascii="Times New Roman" w:hAnsi="Times New Roman"/>
          <w:sz w:val="26"/>
          <w:szCs w:val="26"/>
        </w:rPr>
        <w:t>ийным фондом отражена в таблице</w:t>
      </w:r>
      <w:r w:rsidR="009A7AE5" w:rsidRPr="00AE4039">
        <w:rPr>
          <w:rFonts w:ascii="Times New Roman" w:hAnsi="Times New Roman"/>
          <w:sz w:val="26"/>
          <w:szCs w:val="26"/>
        </w:rPr>
        <w:t xml:space="preserve"> </w:t>
      </w:r>
      <w:r w:rsidR="00DD7EFE">
        <w:rPr>
          <w:rFonts w:ascii="Times New Roman" w:hAnsi="Times New Roman"/>
          <w:sz w:val="26"/>
          <w:szCs w:val="26"/>
        </w:rPr>
        <w:t>6</w:t>
      </w:r>
      <w:r w:rsidR="00FE4F5C">
        <w:rPr>
          <w:rFonts w:ascii="Times New Roman" w:hAnsi="Times New Roman"/>
          <w:sz w:val="26"/>
          <w:szCs w:val="26"/>
        </w:rPr>
        <w:t>.</w:t>
      </w:r>
    </w:p>
    <w:p w:rsidR="002A725C" w:rsidRDefault="009A7AE5" w:rsidP="0032346E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6A3708">
        <w:rPr>
          <w:rFonts w:ascii="Times New Roman" w:hAnsi="Times New Roman"/>
          <w:sz w:val="26"/>
          <w:szCs w:val="26"/>
        </w:rPr>
        <w:t xml:space="preserve">Таблица </w:t>
      </w:r>
      <w:r w:rsidR="00DD7EFE" w:rsidRPr="006A3708">
        <w:rPr>
          <w:rFonts w:ascii="Times New Roman" w:hAnsi="Times New Roman"/>
          <w:sz w:val="26"/>
          <w:szCs w:val="26"/>
        </w:rPr>
        <w:t>6</w:t>
      </w:r>
    </w:p>
    <w:tbl>
      <w:tblPr>
        <w:tblW w:w="95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408"/>
        <w:gridCol w:w="1360"/>
        <w:gridCol w:w="1909"/>
        <w:gridCol w:w="1491"/>
      </w:tblGrid>
      <w:tr w:rsidR="002A725C" w:rsidTr="002A725C">
        <w:trPr>
          <w:trHeight w:val="51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5C" w:rsidRPr="002A725C" w:rsidRDefault="002A725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ведения деятельности (муниципальный район края)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по кол-ву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умма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по сумме</w:t>
            </w:r>
          </w:p>
        </w:tc>
      </w:tr>
      <w:tr w:rsidR="002A725C" w:rsidTr="002A725C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абаровск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255 136 851,0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2A725C" w:rsidTr="002A725C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Комсомольск на Амуре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15 403 101,0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2A725C" w:rsidTr="002A725C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</w:t>
            </w:r>
          </w:p>
          <w:p w:rsidR="002A725C" w:rsidRPr="002A725C" w:rsidRDefault="002A725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Новый Ургал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1 450 000,0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2A725C" w:rsidTr="002A725C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мурск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A725C" w:rsidTr="002A725C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A725C" w:rsidTr="002A725C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р-н им. Лазо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12 836 000,0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A725C" w:rsidTr="002A725C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32 120 000,0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A725C" w:rsidTr="002A725C">
        <w:trPr>
          <w:trHeight w:val="2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322 595 952,0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25C" w:rsidRPr="002A725C" w:rsidRDefault="002A725C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2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2A725C" w:rsidRDefault="002A725C" w:rsidP="002A725C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875A36" w:rsidRDefault="00875A36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AE4039">
        <w:rPr>
          <w:rFonts w:ascii="Times New Roman" w:hAnsi="Times New Roman"/>
          <w:sz w:val="26"/>
          <w:szCs w:val="26"/>
        </w:rPr>
        <w:t xml:space="preserve">Привлеченные финансовые средства, полученные под поручительство Гарантийного фонда, направлены на инвестиционные цели, приобретение </w:t>
      </w:r>
      <w:r w:rsidR="004415ED">
        <w:rPr>
          <w:rFonts w:ascii="Times New Roman" w:hAnsi="Times New Roman"/>
          <w:sz w:val="26"/>
          <w:szCs w:val="26"/>
        </w:rPr>
        <w:t>оборудования</w:t>
      </w:r>
      <w:r w:rsidRPr="00AE4039">
        <w:rPr>
          <w:rFonts w:ascii="Times New Roman" w:hAnsi="Times New Roman"/>
          <w:sz w:val="26"/>
          <w:szCs w:val="26"/>
        </w:rPr>
        <w:t xml:space="preserve">, приобретение недвижимости, </w:t>
      </w:r>
      <w:r w:rsidR="006B0BF4">
        <w:rPr>
          <w:rFonts w:ascii="Times New Roman" w:hAnsi="Times New Roman"/>
          <w:sz w:val="26"/>
          <w:szCs w:val="26"/>
        </w:rPr>
        <w:t xml:space="preserve">пополнение оборотных средств, </w:t>
      </w:r>
      <w:r w:rsidR="00C67C14">
        <w:rPr>
          <w:rFonts w:ascii="Times New Roman" w:hAnsi="Times New Roman"/>
          <w:sz w:val="26"/>
          <w:szCs w:val="26"/>
        </w:rPr>
        <w:t>рефинансирование действующих кредитов</w:t>
      </w:r>
      <w:r w:rsidR="006B0BF4">
        <w:rPr>
          <w:rFonts w:ascii="Times New Roman" w:hAnsi="Times New Roman"/>
          <w:sz w:val="26"/>
          <w:szCs w:val="26"/>
        </w:rPr>
        <w:t>.</w:t>
      </w:r>
    </w:p>
    <w:p w:rsidR="00DE23FB" w:rsidRPr="00C51624" w:rsidRDefault="00802471" w:rsidP="00DE23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Средневзвешенная</w:t>
      </w:r>
      <w:r w:rsidR="00BA1747" w:rsidRPr="00C51624">
        <w:rPr>
          <w:rFonts w:ascii="Times New Roman" w:hAnsi="Times New Roman"/>
          <w:sz w:val="26"/>
          <w:szCs w:val="26"/>
        </w:rPr>
        <w:t xml:space="preserve"> процентная ставка по кредитам</w:t>
      </w:r>
      <w:r>
        <w:rPr>
          <w:rFonts w:ascii="Times New Roman" w:hAnsi="Times New Roman"/>
          <w:sz w:val="26"/>
          <w:szCs w:val="26"/>
        </w:rPr>
        <w:t>/займам</w:t>
      </w:r>
      <w:r w:rsidR="00BA1747" w:rsidRPr="00C51624">
        <w:rPr>
          <w:rFonts w:ascii="Times New Roman" w:hAnsi="Times New Roman"/>
          <w:sz w:val="26"/>
          <w:szCs w:val="26"/>
        </w:rPr>
        <w:t>, привлеченным под поручительство Гарантийного фонда</w:t>
      </w:r>
      <w:r w:rsidR="00841B8D">
        <w:rPr>
          <w:rFonts w:ascii="Times New Roman" w:hAnsi="Times New Roman"/>
          <w:sz w:val="26"/>
          <w:szCs w:val="26"/>
        </w:rPr>
        <w:t xml:space="preserve"> в </w:t>
      </w:r>
      <w:r w:rsidR="000A4818">
        <w:rPr>
          <w:rFonts w:ascii="Times New Roman" w:hAnsi="Times New Roman"/>
          <w:sz w:val="26"/>
          <w:szCs w:val="26"/>
        </w:rPr>
        <w:t>2017</w:t>
      </w:r>
      <w:r w:rsidR="00841B8D">
        <w:rPr>
          <w:rFonts w:ascii="Times New Roman" w:hAnsi="Times New Roman"/>
          <w:sz w:val="26"/>
          <w:szCs w:val="26"/>
        </w:rPr>
        <w:t xml:space="preserve"> году, составила</w:t>
      </w:r>
      <w:r w:rsidR="00BA1747" w:rsidRPr="00C516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12,53</w:t>
      </w:r>
      <w:r w:rsidR="00BA1747" w:rsidRPr="00C51624">
        <w:rPr>
          <w:rFonts w:ascii="Times New Roman" w:hAnsi="Times New Roman"/>
          <w:sz w:val="26"/>
          <w:szCs w:val="26"/>
        </w:rPr>
        <w:t>%</w:t>
      </w:r>
      <w:r w:rsidR="0069470E">
        <w:rPr>
          <w:rFonts w:ascii="Times New Roman" w:hAnsi="Times New Roman"/>
          <w:sz w:val="26"/>
          <w:szCs w:val="26"/>
        </w:rPr>
        <w:t xml:space="preserve"> </w:t>
      </w:r>
      <w:r w:rsidR="00BA1747" w:rsidRPr="00C5162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A1747" w:rsidRPr="00C51624">
        <w:rPr>
          <w:rFonts w:ascii="Times New Roman" w:hAnsi="Times New Roman"/>
          <w:sz w:val="26"/>
          <w:szCs w:val="26"/>
        </w:rPr>
        <w:t>годовых</w:t>
      </w:r>
      <w:proofErr w:type="gramEnd"/>
      <w:r w:rsidR="00BA1747" w:rsidRPr="00C51624">
        <w:rPr>
          <w:rFonts w:ascii="Times New Roman" w:hAnsi="Times New Roman"/>
          <w:sz w:val="26"/>
          <w:szCs w:val="26"/>
        </w:rPr>
        <w:t>.</w:t>
      </w:r>
      <w:r w:rsidR="00EF0F33">
        <w:rPr>
          <w:rFonts w:ascii="Times New Roman" w:hAnsi="Times New Roman"/>
          <w:sz w:val="26"/>
          <w:szCs w:val="26"/>
        </w:rPr>
        <w:t xml:space="preserve"> </w:t>
      </w:r>
      <w:r w:rsidR="00D77F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Средняя</w:t>
      </w:r>
      <w:r w:rsidR="00832360" w:rsidRPr="00C51624">
        <w:rPr>
          <w:rFonts w:ascii="Times New Roman" w:hAnsi="Times New Roman"/>
          <w:sz w:val="26"/>
          <w:szCs w:val="26"/>
        </w:rPr>
        <w:t xml:space="preserve"> доля поручительства </w:t>
      </w:r>
      <w:r w:rsidR="00D77FDA">
        <w:rPr>
          <w:rFonts w:ascii="Times New Roman" w:hAnsi="Times New Roman"/>
          <w:sz w:val="26"/>
          <w:szCs w:val="26"/>
        </w:rPr>
        <w:t>Гарантийного фонда</w:t>
      </w:r>
      <w:r w:rsidR="00832360" w:rsidRPr="00C51624">
        <w:rPr>
          <w:rFonts w:ascii="Times New Roman" w:hAnsi="Times New Roman"/>
          <w:sz w:val="26"/>
          <w:szCs w:val="26"/>
        </w:rPr>
        <w:t xml:space="preserve"> в общем объеме обеспечения составляет </w:t>
      </w:r>
      <w:r>
        <w:rPr>
          <w:rFonts w:ascii="Times New Roman" w:hAnsi="Times New Roman"/>
          <w:sz w:val="26"/>
          <w:szCs w:val="26"/>
        </w:rPr>
        <w:t>43</w:t>
      </w:r>
      <w:r w:rsidR="00D77FDA">
        <w:rPr>
          <w:rFonts w:ascii="Times New Roman" w:hAnsi="Times New Roman"/>
          <w:sz w:val="26"/>
          <w:szCs w:val="26"/>
        </w:rPr>
        <w:t>%</w:t>
      </w:r>
      <w:r w:rsidR="00DE23FB" w:rsidRPr="00DE23FB">
        <w:rPr>
          <w:rFonts w:ascii="Times New Roman" w:hAnsi="Times New Roman"/>
          <w:sz w:val="26"/>
          <w:szCs w:val="26"/>
        </w:rPr>
        <w:t xml:space="preserve"> </w:t>
      </w:r>
      <w:r w:rsidR="00DE23FB" w:rsidRPr="00C51624">
        <w:rPr>
          <w:rFonts w:ascii="Times New Roman" w:hAnsi="Times New Roman"/>
          <w:sz w:val="26"/>
          <w:szCs w:val="26"/>
        </w:rPr>
        <w:t>Средний размер кредита</w:t>
      </w:r>
      <w:r w:rsidR="00DE23FB">
        <w:rPr>
          <w:rFonts w:ascii="Times New Roman" w:hAnsi="Times New Roman"/>
          <w:sz w:val="26"/>
          <w:szCs w:val="26"/>
        </w:rPr>
        <w:t>,</w:t>
      </w:r>
      <w:r w:rsidR="00DE23FB" w:rsidRPr="00C51624">
        <w:rPr>
          <w:rFonts w:ascii="Times New Roman" w:hAnsi="Times New Roman"/>
          <w:sz w:val="26"/>
          <w:szCs w:val="26"/>
        </w:rPr>
        <w:t xml:space="preserve"> предоставляемого под поручительство Гарантийного фонда, составил </w:t>
      </w:r>
      <w:r>
        <w:rPr>
          <w:rFonts w:ascii="Times New Roman" w:hAnsi="Times New Roman"/>
          <w:sz w:val="26"/>
          <w:szCs w:val="26"/>
        </w:rPr>
        <w:t>20,3</w:t>
      </w:r>
      <w:r w:rsidR="00DE23FB" w:rsidRPr="00C51624">
        <w:rPr>
          <w:rFonts w:ascii="Times New Roman" w:hAnsi="Times New Roman"/>
          <w:sz w:val="26"/>
          <w:szCs w:val="26"/>
        </w:rPr>
        <w:t xml:space="preserve"> млн. рублей. Средняя сумма поручительства – </w:t>
      </w:r>
      <w:r w:rsidR="00A43FED">
        <w:rPr>
          <w:rFonts w:ascii="Times New Roman" w:hAnsi="Times New Roman"/>
          <w:sz w:val="26"/>
          <w:szCs w:val="26"/>
        </w:rPr>
        <w:t>5</w:t>
      </w:r>
      <w:r w:rsidR="00DE23FB" w:rsidRPr="00C51624">
        <w:rPr>
          <w:rFonts w:ascii="Times New Roman" w:hAnsi="Times New Roman"/>
          <w:sz w:val="26"/>
          <w:szCs w:val="26"/>
        </w:rPr>
        <w:t xml:space="preserve"> млн. руб.</w:t>
      </w:r>
    </w:p>
    <w:p w:rsidR="00AF630B" w:rsidRDefault="006941EE" w:rsidP="00AF630B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9C31E9">
        <w:rPr>
          <w:rFonts w:ascii="Times New Roman" w:hAnsi="Times New Roman"/>
          <w:b/>
          <w:sz w:val="26"/>
          <w:szCs w:val="26"/>
        </w:rPr>
        <w:t xml:space="preserve"> </w:t>
      </w:r>
    </w:p>
    <w:p w:rsidR="00211A2D" w:rsidRDefault="00427FDA" w:rsidP="00AF630B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290879">
        <w:rPr>
          <w:rFonts w:ascii="Times New Roman" w:hAnsi="Times New Roman"/>
          <w:b/>
          <w:sz w:val="26"/>
          <w:szCs w:val="26"/>
        </w:rPr>
        <w:t xml:space="preserve"> </w:t>
      </w:r>
      <w:r w:rsidR="00013229">
        <w:rPr>
          <w:rFonts w:ascii="Times New Roman" w:hAnsi="Times New Roman"/>
          <w:b/>
          <w:sz w:val="26"/>
          <w:szCs w:val="26"/>
        </w:rPr>
        <w:t xml:space="preserve">Исполнение обязательств </w:t>
      </w:r>
      <w:r w:rsidR="006A0FFB">
        <w:rPr>
          <w:rFonts w:ascii="Times New Roman" w:hAnsi="Times New Roman"/>
          <w:b/>
          <w:sz w:val="26"/>
          <w:szCs w:val="26"/>
        </w:rPr>
        <w:t xml:space="preserve"> Гарантийного </w:t>
      </w:r>
      <w:r w:rsidR="00013229">
        <w:rPr>
          <w:rFonts w:ascii="Times New Roman" w:hAnsi="Times New Roman"/>
          <w:b/>
          <w:sz w:val="26"/>
          <w:szCs w:val="26"/>
        </w:rPr>
        <w:t>Фонда.</w:t>
      </w:r>
    </w:p>
    <w:p w:rsidR="00211A2D" w:rsidRDefault="00B54A79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45285D">
        <w:rPr>
          <w:rFonts w:ascii="Times New Roman" w:hAnsi="Times New Roman"/>
          <w:sz w:val="26"/>
          <w:szCs w:val="26"/>
        </w:rPr>
        <w:t>В</w:t>
      </w:r>
      <w:r w:rsidR="006941EE" w:rsidRPr="0045285D">
        <w:rPr>
          <w:rFonts w:ascii="Times New Roman" w:hAnsi="Times New Roman"/>
          <w:b/>
          <w:sz w:val="26"/>
          <w:szCs w:val="26"/>
        </w:rPr>
        <w:t xml:space="preserve"> </w:t>
      </w:r>
      <w:r w:rsidR="000A4818">
        <w:rPr>
          <w:rFonts w:ascii="Times New Roman" w:hAnsi="Times New Roman"/>
          <w:sz w:val="26"/>
          <w:szCs w:val="26"/>
        </w:rPr>
        <w:t>2017</w:t>
      </w:r>
      <w:r w:rsidR="0045285D">
        <w:rPr>
          <w:rFonts w:ascii="Times New Roman" w:hAnsi="Times New Roman"/>
          <w:sz w:val="26"/>
          <w:szCs w:val="26"/>
        </w:rPr>
        <w:t xml:space="preserve"> году</w:t>
      </w:r>
      <w:r w:rsidR="006941EE" w:rsidRPr="0045285D">
        <w:rPr>
          <w:rFonts w:ascii="Times New Roman" w:hAnsi="Times New Roman"/>
          <w:sz w:val="26"/>
          <w:szCs w:val="26"/>
        </w:rPr>
        <w:t xml:space="preserve"> </w:t>
      </w:r>
      <w:r w:rsidR="000F73AB">
        <w:rPr>
          <w:rFonts w:ascii="Times New Roman" w:hAnsi="Times New Roman"/>
          <w:sz w:val="26"/>
          <w:szCs w:val="26"/>
        </w:rPr>
        <w:t>Гарантийному фонду п</w:t>
      </w:r>
      <w:r w:rsidR="00CF4536">
        <w:rPr>
          <w:rFonts w:ascii="Times New Roman" w:hAnsi="Times New Roman"/>
          <w:sz w:val="26"/>
          <w:szCs w:val="26"/>
        </w:rPr>
        <w:t>редъявлено 1</w:t>
      </w:r>
      <w:r w:rsidR="00AF630B">
        <w:rPr>
          <w:rFonts w:ascii="Times New Roman" w:hAnsi="Times New Roman"/>
          <w:sz w:val="26"/>
          <w:szCs w:val="26"/>
        </w:rPr>
        <w:t>0</w:t>
      </w:r>
      <w:r w:rsidR="00CF4536">
        <w:rPr>
          <w:rFonts w:ascii="Times New Roman" w:hAnsi="Times New Roman"/>
          <w:sz w:val="26"/>
          <w:szCs w:val="26"/>
        </w:rPr>
        <w:t xml:space="preserve"> требований банков </w:t>
      </w:r>
      <w:proofErr w:type="gramStart"/>
      <w:r w:rsidR="00CF4536">
        <w:rPr>
          <w:rFonts w:ascii="Times New Roman" w:hAnsi="Times New Roman"/>
          <w:sz w:val="26"/>
          <w:szCs w:val="26"/>
        </w:rPr>
        <w:t>-</w:t>
      </w:r>
      <w:r w:rsidR="000F73AB">
        <w:rPr>
          <w:rFonts w:ascii="Times New Roman" w:hAnsi="Times New Roman"/>
          <w:sz w:val="26"/>
          <w:szCs w:val="26"/>
        </w:rPr>
        <w:t>п</w:t>
      </w:r>
      <w:proofErr w:type="gramEnd"/>
      <w:r w:rsidR="000F73AB">
        <w:rPr>
          <w:rFonts w:ascii="Times New Roman" w:hAnsi="Times New Roman"/>
          <w:sz w:val="26"/>
          <w:szCs w:val="26"/>
        </w:rPr>
        <w:t xml:space="preserve">артнеров, </w:t>
      </w:r>
      <w:r w:rsidR="006941EE" w:rsidRPr="0045285D">
        <w:rPr>
          <w:rFonts w:ascii="Times New Roman" w:hAnsi="Times New Roman"/>
          <w:sz w:val="26"/>
          <w:szCs w:val="26"/>
        </w:rPr>
        <w:t xml:space="preserve">было произведено </w:t>
      </w:r>
      <w:r w:rsidR="00AF630B">
        <w:rPr>
          <w:rFonts w:ascii="Times New Roman" w:hAnsi="Times New Roman"/>
          <w:sz w:val="26"/>
          <w:szCs w:val="26"/>
        </w:rPr>
        <w:t>9</w:t>
      </w:r>
      <w:r w:rsidR="006941EE" w:rsidRPr="0045285D">
        <w:rPr>
          <w:rFonts w:ascii="Times New Roman" w:hAnsi="Times New Roman"/>
          <w:sz w:val="26"/>
          <w:szCs w:val="26"/>
        </w:rPr>
        <w:t xml:space="preserve"> выплат по требованиям</w:t>
      </w:r>
      <w:r w:rsidR="0045285D">
        <w:rPr>
          <w:rFonts w:ascii="Times New Roman" w:hAnsi="Times New Roman"/>
          <w:sz w:val="26"/>
          <w:szCs w:val="26"/>
        </w:rPr>
        <w:t>,</w:t>
      </w:r>
      <w:r w:rsidR="006941EE" w:rsidRPr="0045285D">
        <w:rPr>
          <w:rFonts w:ascii="Times New Roman" w:hAnsi="Times New Roman"/>
          <w:sz w:val="26"/>
          <w:szCs w:val="26"/>
        </w:rPr>
        <w:t xml:space="preserve"> на сумму </w:t>
      </w:r>
      <w:r w:rsidR="00AF630B">
        <w:rPr>
          <w:rFonts w:ascii="Times New Roman" w:hAnsi="Times New Roman"/>
          <w:sz w:val="26"/>
          <w:szCs w:val="26"/>
        </w:rPr>
        <w:t>26</w:t>
      </w:r>
      <w:r w:rsidR="006941EE" w:rsidRPr="0045285D">
        <w:rPr>
          <w:rFonts w:ascii="Times New Roman" w:hAnsi="Times New Roman"/>
          <w:sz w:val="26"/>
          <w:szCs w:val="26"/>
        </w:rPr>
        <w:t xml:space="preserve"> млн. </w:t>
      </w:r>
      <w:r w:rsidR="00AF630B">
        <w:rPr>
          <w:rFonts w:ascii="Times New Roman" w:hAnsi="Times New Roman"/>
          <w:sz w:val="26"/>
          <w:szCs w:val="26"/>
        </w:rPr>
        <w:t>256</w:t>
      </w:r>
      <w:r w:rsidR="006941EE" w:rsidRPr="0045285D">
        <w:rPr>
          <w:rFonts w:ascii="Times New Roman" w:hAnsi="Times New Roman"/>
          <w:sz w:val="26"/>
          <w:szCs w:val="26"/>
        </w:rPr>
        <w:t xml:space="preserve"> тыс. руб. Всего за </w:t>
      </w:r>
      <w:r w:rsidR="00D64F32">
        <w:rPr>
          <w:rFonts w:ascii="Times New Roman" w:hAnsi="Times New Roman"/>
          <w:sz w:val="26"/>
          <w:szCs w:val="26"/>
        </w:rPr>
        <w:t xml:space="preserve">весь </w:t>
      </w:r>
      <w:r w:rsidR="006941EE" w:rsidRPr="0045285D">
        <w:rPr>
          <w:rFonts w:ascii="Times New Roman" w:hAnsi="Times New Roman"/>
          <w:sz w:val="26"/>
          <w:szCs w:val="26"/>
        </w:rPr>
        <w:t xml:space="preserve">период работы Фонда было удовлетворено </w:t>
      </w:r>
      <w:r w:rsidR="00AF630B">
        <w:rPr>
          <w:rFonts w:ascii="Times New Roman" w:hAnsi="Times New Roman"/>
          <w:sz w:val="26"/>
          <w:szCs w:val="26"/>
        </w:rPr>
        <w:t>42</w:t>
      </w:r>
      <w:r w:rsidR="006941EE" w:rsidRPr="0045285D">
        <w:rPr>
          <w:rFonts w:ascii="Times New Roman" w:hAnsi="Times New Roman"/>
          <w:sz w:val="26"/>
          <w:szCs w:val="26"/>
        </w:rPr>
        <w:t xml:space="preserve">  требования  на сумму </w:t>
      </w:r>
      <w:r w:rsidR="00AF630B">
        <w:rPr>
          <w:rFonts w:ascii="Times New Roman" w:hAnsi="Times New Roman"/>
          <w:sz w:val="26"/>
          <w:szCs w:val="26"/>
        </w:rPr>
        <w:t>115</w:t>
      </w:r>
      <w:r w:rsidR="006941EE" w:rsidRPr="0045285D">
        <w:rPr>
          <w:rFonts w:ascii="Times New Roman" w:hAnsi="Times New Roman"/>
          <w:sz w:val="26"/>
          <w:szCs w:val="26"/>
        </w:rPr>
        <w:t xml:space="preserve"> млн. </w:t>
      </w:r>
      <w:r w:rsidR="00AF630B">
        <w:rPr>
          <w:rFonts w:ascii="Times New Roman" w:hAnsi="Times New Roman"/>
          <w:sz w:val="26"/>
          <w:szCs w:val="26"/>
        </w:rPr>
        <w:t>777</w:t>
      </w:r>
      <w:r w:rsidR="006941EE" w:rsidRPr="0045285D">
        <w:rPr>
          <w:rFonts w:ascii="Times New Roman" w:hAnsi="Times New Roman"/>
          <w:sz w:val="26"/>
          <w:szCs w:val="26"/>
        </w:rPr>
        <w:t xml:space="preserve"> тыс. руб. </w:t>
      </w:r>
      <w:r w:rsidR="00013229">
        <w:rPr>
          <w:rFonts w:ascii="Times New Roman" w:hAnsi="Times New Roman"/>
          <w:sz w:val="26"/>
          <w:szCs w:val="26"/>
        </w:rPr>
        <w:t>Объем выплат по требованиям банков по годам  представлен в таблице 7.</w:t>
      </w:r>
    </w:p>
    <w:p w:rsidR="00AF630B" w:rsidRDefault="00AF630B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F630B" w:rsidRDefault="00AF630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13229" w:rsidRDefault="00013229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290879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Таблица 7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484"/>
        <w:gridCol w:w="1134"/>
        <w:gridCol w:w="1134"/>
        <w:gridCol w:w="1134"/>
        <w:gridCol w:w="1134"/>
        <w:gridCol w:w="1134"/>
      </w:tblGrid>
      <w:tr w:rsidR="00AF630B" w:rsidRPr="001D6042" w:rsidTr="00AF630B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0B" w:rsidRPr="00013229" w:rsidRDefault="00AF630B" w:rsidP="000132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0B" w:rsidRPr="00013229" w:rsidRDefault="00AF630B" w:rsidP="000132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0B" w:rsidRDefault="00AF630B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</w:tr>
      <w:tr w:rsidR="00AF630B" w:rsidRPr="001D6042" w:rsidTr="00AF63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исполненных обязательств перед банками-партнерами за период,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0B" w:rsidRPr="00013229" w:rsidRDefault="00AF630B" w:rsidP="00EF0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0B" w:rsidRDefault="00AF630B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AF630B" w:rsidRPr="001D6042" w:rsidTr="00AF63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Сумма исполненных обязательств перед банками-партнерами за период,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0B" w:rsidRPr="00013229" w:rsidRDefault="00AF630B" w:rsidP="00EF0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0B" w:rsidRDefault="00AF630B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AF630B" w:rsidRPr="001D6042" w:rsidTr="00AF63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Суммы, взысканные в рамках регрессионной работы,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4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4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4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0B" w:rsidRPr="00013229" w:rsidRDefault="00AF630B" w:rsidP="004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0B" w:rsidRDefault="00531A8E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</w:tr>
      <w:tr w:rsidR="00AF630B" w:rsidRPr="001D6042" w:rsidTr="00AF630B">
        <w:trPr>
          <w:trHeight w:val="4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Доля исполненных обязательств  в общем объеме выданных поручительств,%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0B" w:rsidRPr="00013229" w:rsidRDefault="00AF630B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0B" w:rsidRPr="00013229" w:rsidRDefault="00AF630B" w:rsidP="000F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0B" w:rsidRDefault="00AF630B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5,9</w:t>
            </w:r>
            <w:r w:rsidR="00531A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</w:tbl>
    <w:p w:rsidR="00764ACA" w:rsidRPr="000B142A" w:rsidRDefault="00764ACA" w:rsidP="00F25442">
      <w:pPr>
        <w:jc w:val="both"/>
        <w:rPr>
          <w:rFonts w:ascii="Times New Roman" w:hAnsi="Times New Roman"/>
        </w:rPr>
      </w:pPr>
    </w:p>
    <w:p w:rsidR="00F25442" w:rsidRPr="00F25442" w:rsidRDefault="00764ACA" w:rsidP="00F2544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25442">
        <w:rPr>
          <w:rFonts w:ascii="Times New Roman" w:hAnsi="Times New Roman"/>
          <w:sz w:val="26"/>
          <w:szCs w:val="26"/>
        </w:rPr>
        <w:t>Уровень убыточности Фонда по состоянию на 01.01.201</w:t>
      </w:r>
      <w:r w:rsidR="00043633">
        <w:rPr>
          <w:rFonts w:ascii="Times New Roman" w:hAnsi="Times New Roman"/>
          <w:sz w:val="26"/>
          <w:szCs w:val="26"/>
        </w:rPr>
        <w:t>8</w:t>
      </w:r>
      <w:r w:rsidR="00F25442">
        <w:rPr>
          <w:rFonts w:ascii="Times New Roman" w:hAnsi="Times New Roman"/>
          <w:sz w:val="26"/>
          <w:szCs w:val="26"/>
        </w:rPr>
        <w:t xml:space="preserve"> года составляет</w:t>
      </w:r>
      <w:r>
        <w:rPr>
          <w:rFonts w:ascii="Times New Roman" w:hAnsi="Times New Roman"/>
          <w:sz w:val="26"/>
          <w:szCs w:val="26"/>
        </w:rPr>
        <w:t xml:space="preserve">  </w:t>
      </w:r>
      <w:r w:rsidR="00F25442">
        <w:rPr>
          <w:rFonts w:ascii="Times New Roman" w:hAnsi="Times New Roman"/>
          <w:sz w:val="26"/>
          <w:szCs w:val="26"/>
        </w:rPr>
        <w:t>5,</w:t>
      </w:r>
      <w:r w:rsidR="00043633">
        <w:rPr>
          <w:rFonts w:ascii="Times New Roman" w:hAnsi="Times New Roman"/>
          <w:sz w:val="26"/>
          <w:szCs w:val="26"/>
        </w:rPr>
        <w:t>9</w:t>
      </w:r>
      <w:r w:rsidR="00F25442">
        <w:rPr>
          <w:rFonts w:ascii="Times New Roman" w:hAnsi="Times New Roman"/>
          <w:sz w:val="26"/>
          <w:szCs w:val="26"/>
        </w:rPr>
        <w:t>%</w:t>
      </w:r>
      <w:r w:rsidR="00600452">
        <w:rPr>
          <w:rFonts w:ascii="Times New Roman" w:hAnsi="Times New Roman"/>
          <w:sz w:val="26"/>
          <w:szCs w:val="26"/>
        </w:rPr>
        <w:t xml:space="preserve">. </w:t>
      </w:r>
      <w:r w:rsidR="000F73A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ровень убыточности </w:t>
      </w:r>
      <w:r w:rsidR="00F25442" w:rsidRPr="00F25442">
        <w:rPr>
          <w:rFonts w:ascii="Times New Roman" w:hAnsi="Times New Roman"/>
          <w:sz w:val="26"/>
          <w:szCs w:val="26"/>
        </w:rPr>
        <w:t>Фонд</w:t>
      </w:r>
      <w:r w:rsidR="000F73AB">
        <w:rPr>
          <w:rFonts w:ascii="Times New Roman" w:hAnsi="Times New Roman"/>
          <w:sz w:val="26"/>
          <w:szCs w:val="26"/>
        </w:rPr>
        <w:t>а</w:t>
      </w:r>
      <w:r w:rsidR="00F25442" w:rsidRPr="00F25442">
        <w:rPr>
          <w:rFonts w:ascii="Times New Roman" w:hAnsi="Times New Roman"/>
          <w:sz w:val="26"/>
          <w:szCs w:val="26"/>
        </w:rPr>
        <w:t xml:space="preserve"> </w:t>
      </w:r>
      <w:r w:rsidR="00F25442" w:rsidRPr="000F73AB">
        <w:rPr>
          <w:rFonts w:ascii="Times New Roman" w:hAnsi="Times New Roman"/>
          <w:b/>
          <w:sz w:val="26"/>
          <w:szCs w:val="26"/>
        </w:rPr>
        <w:t>соответствует</w:t>
      </w:r>
      <w:r w:rsidR="00F25442" w:rsidRPr="00F25442">
        <w:rPr>
          <w:rFonts w:ascii="Times New Roman" w:hAnsi="Times New Roman"/>
          <w:sz w:val="26"/>
          <w:szCs w:val="26"/>
        </w:rPr>
        <w:t xml:space="preserve"> требованиям регулятора к допустимому уровню убыточности.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D6042" w:rsidRDefault="00E96966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E96966">
        <w:rPr>
          <w:rFonts w:ascii="Times New Roman" w:hAnsi="Times New Roman"/>
          <w:sz w:val="26"/>
          <w:szCs w:val="26"/>
        </w:rPr>
        <w:t xml:space="preserve">В разрезе банков-партнеров </w:t>
      </w:r>
      <w:r>
        <w:rPr>
          <w:rFonts w:ascii="Times New Roman" w:hAnsi="Times New Roman"/>
          <w:sz w:val="26"/>
          <w:szCs w:val="26"/>
        </w:rPr>
        <w:t xml:space="preserve">выплаты по требованиям </w:t>
      </w:r>
      <w:r w:rsidRPr="00E96966">
        <w:rPr>
          <w:rFonts w:ascii="Times New Roman" w:hAnsi="Times New Roman"/>
          <w:sz w:val="26"/>
          <w:szCs w:val="26"/>
        </w:rPr>
        <w:t>представлен</w:t>
      </w:r>
      <w:r>
        <w:rPr>
          <w:rFonts w:ascii="Times New Roman" w:hAnsi="Times New Roman"/>
          <w:sz w:val="26"/>
          <w:szCs w:val="26"/>
        </w:rPr>
        <w:t>ы</w:t>
      </w:r>
      <w:r w:rsidRPr="00E96966">
        <w:rPr>
          <w:rFonts w:ascii="Times New Roman" w:hAnsi="Times New Roman"/>
          <w:sz w:val="26"/>
          <w:szCs w:val="26"/>
        </w:rPr>
        <w:t xml:space="preserve">  на рис.</w:t>
      </w:r>
      <w:r>
        <w:rPr>
          <w:rFonts w:ascii="Times New Roman" w:hAnsi="Times New Roman"/>
          <w:sz w:val="26"/>
          <w:szCs w:val="26"/>
        </w:rPr>
        <w:t>6</w:t>
      </w:r>
      <w:r w:rsidRPr="00E9696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50247">
        <w:rPr>
          <w:rFonts w:ascii="Times New Roman" w:hAnsi="Times New Roman"/>
          <w:sz w:val="26"/>
          <w:szCs w:val="26"/>
        </w:rPr>
        <w:t>В таблице 8  представлены показатели убыточности по каждому банку-партнеру. Наибольший объем выплат при</w:t>
      </w:r>
      <w:r w:rsidR="00954144">
        <w:rPr>
          <w:rFonts w:ascii="Times New Roman" w:hAnsi="Times New Roman"/>
          <w:sz w:val="26"/>
          <w:szCs w:val="26"/>
        </w:rPr>
        <w:t>ходит</w:t>
      </w:r>
      <w:r w:rsidR="00950247">
        <w:rPr>
          <w:rFonts w:ascii="Times New Roman" w:hAnsi="Times New Roman"/>
          <w:sz w:val="26"/>
          <w:szCs w:val="26"/>
        </w:rPr>
        <w:t xml:space="preserve">ся на «Сбербанк России» и составляет </w:t>
      </w:r>
      <w:r w:rsidR="00954144">
        <w:rPr>
          <w:rFonts w:ascii="Times New Roman" w:hAnsi="Times New Roman"/>
          <w:sz w:val="26"/>
          <w:szCs w:val="26"/>
        </w:rPr>
        <w:t>42</w:t>
      </w:r>
      <w:r w:rsidR="00950247">
        <w:rPr>
          <w:rFonts w:ascii="Times New Roman" w:hAnsi="Times New Roman"/>
          <w:sz w:val="26"/>
          <w:szCs w:val="26"/>
        </w:rPr>
        <w:t xml:space="preserve">% от всех выплат Фонда. </w:t>
      </w:r>
      <w:r w:rsidR="00954144">
        <w:rPr>
          <w:rFonts w:ascii="Times New Roman" w:hAnsi="Times New Roman"/>
          <w:sz w:val="26"/>
          <w:szCs w:val="26"/>
        </w:rPr>
        <w:t xml:space="preserve">Максимальный уровень убыточности </w:t>
      </w:r>
      <w:r w:rsidR="002A725C">
        <w:rPr>
          <w:rFonts w:ascii="Times New Roman" w:hAnsi="Times New Roman"/>
          <w:sz w:val="26"/>
          <w:szCs w:val="26"/>
        </w:rPr>
        <w:t xml:space="preserve">по портфелю кредитов </w:t>
      </w:r>
      <w:r w:rsidR="00954144">
        <w:rPr>
          <w:rFonts w:ascii="Times New Roman" w:hAnsi="Times New Roman"/>
          <w:sz w:val="26"/>
          <w:szCs w:val="26"/>
        </w:rPr>
        <w:t>АО «</w:t>
      </w:r>
      <w:proofErr w:type="spellStart"/>
      <w:r w:rsidR="00954144">
        <w:rPr>
          <w:rFonts w:ascii="Times New Roman" w:hAnsi="Times New Roman"/>
          <w:sz w:val="26"/>
          <w:szCs w:val="26"/>
        </w:rPr>
        <w:t>Россельхозбанк</w:t>
      </w:r>
      <w:proofErr w:type="spellEnd"/>
      <w:r w:rsidR="00954144">
        <w:rPr>
          <w:rFonts w:ascii="Times New Roman" w:hAnsi="Times New Roman"/>
          <w:sz w:val="26"/>
          <w:szCs w:val="26"/>
        </w:rPr>
        <w:t>»  - 19%.</w:t>
      </w:r>
    </w:p>
    <w:p w:rsidR="00950247" w:rsidRDefault="001D6042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950247">
        <w:rPr>
          <w:rFonts w:ascii="Times New Roman" w:hAnsi="Times New Roman"/>
          <w:sz w:val="26"/>
          <w:szCs w:val="26"/>
        </w:rPr>
        <w:t>Таблица</w:t>
      </w:r>
      <w:r w:rsidR="00290879">
        <w:rPr>
          <w:rFonts w:ascii="Times New Roman" w:hAnsi="Times New Roman"/>
          <w:sz w:val="26"/>
          <w:szCs w:val="26"/>
        </w:rPr>
        <w:t xml:space="preserve"> </w:t>
      </w:r>
      <w:r w:rsidR="00950247">
        <w:rPr>
          <w:rFonts w:ascii="Times New Roman" w:hAnsi="Times New Roman"/>
          <w:sz w:val="26"/>
          <w:szCs w:val="26"/>
        </w:rPr>
        <w:t>8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261"/>
        <w:gridCol w:w="3118"/>
        <w:gridCol w:w="2693"/>
      </w:tblGrid>
      <w:tr w:rsidR="001B7E41" w:rsidRPr="00950247" w:rsidTr="00954144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41" w:rsidRPr="00954144" w:rsidRDefault="001B7E41" w:rsidP="008D6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41" w:rsidRPr="00954144" w:rsidRDefault="008D6529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Банк-партнер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41" w:rsidRPr="00954144" w:rsidRDefault="001B7E41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исполненных обязательств,</w:t>
            </w:r>
          </w:p>
          <w:p w:rsidR="001B7E41" w:rsidRPr="00954144" w:rsidRDefault="00A03402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="001B7E41"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41" w:rsidRPr="00954144" w:rsidRDefault="001B7E41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Убыточность</w:t>
            </w:r>
            <w:r w:rsidR="00381E4E"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      (отношение объема выплат к объему выданных поручительств)</w:t>
            </w:r>
          </w:p>
        </w:tc>
      </w:tr>
      <w:tr w:rsidR="008D6529" w:rsidRPr="00950247" w:rsidTr="00954144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954144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Россельхозбанк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sz w:val="28"/>
                <w:szCs w:val="28"/>
              </w:rPr>
              <w:t>32 928,7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color w:val="000000"/>
                <w:sz w:val="28"/>
                <w:szCs w:val="28"/>
              </w:rPr>
              <w:t>19,0</w:t>
            </w:r>
          </w:p>
        </w:tc>
      </w:tr>
      <w:tr w:rsidR="008D6529" w:rsidRPr="00950247" w:rsidTr="0095414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954144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Сбербанк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sz w:val="28"/>
                <w:szCs w:val="28"/>
              </w:rPr>
              <w:t>48 668,4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</w:tr>
      <w:tr w:rsidR="008D6529" w:rsidRPr="00950247" w:rsidTr="0095414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954144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МТС-банк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8D6529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sz w:val="28"/>
                <w:szCs w:val="28"/>
              </w:rPr>
              <w:t>14 236,1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954144" w:rsidRDefault="008D6529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 w:rsidR="00043633" w:rsidRPr="0095414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D6529" w:rsidRPr="00950247" w:rsidTr="0095414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954144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8D6529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 ВТБ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8D6529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sz w:val="28"/>
                <w:szCs w:val="28"/>
              </w:rPr>
              <w:t>6 119,2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954144" w:rsidRDefault="008D6529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043633" w:rsidRPr="009541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D6529" w:rsidRPr="00950247" w:rsidTr="0095414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954144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(</w:t>
            </w:r>
            <w:proofErr w:type="spellStart"/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Региобанк</w:t>
            </w:r>
            <w:proofErr w:type="spellEnd"/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8D6529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sz w:val="28"/>
                <w:szCs w:val="28"/>
              </w:rPr>
              <w:t>5 278,2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</w:tr>
      <w:tr w:rsidR="00043633" w:rsidRPr="00950247" w:rsidTr="0095414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33" w:rsidRPr="00954144" w:rsidRDefault="00043633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33" w:rsidRPr="00954144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33" w:rsidRPr="00954144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sz w:val="28"/>
                <w:szCs w:val="28"/>
              </w:rPr>
              <w:t>4 599,5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33" w:rsidRPr="00954144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</w:tr>
      <w:tr w:rsidR="00043633" w:rsidRPr="00950247" w:rsidTr="0095414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33" w:rsidRPr="00954144" w:rsidRDefault="00043633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33" w:rsidRPr="00954144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Дальневосточный банк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33" w:rsidRPr="00954144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sz w:val="28"/>
                <w:szCs w:val="28"/>
              </w:rPr>
              <w:t>3 946,8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33" w:rsidRPr="00954144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</w:p>
        </w:tc>
      </w:tr>
      <w:tr w:rsidR="008D6529" w:rsidRPr="00950247" w:rsidTr="0095414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29" w:rsidRPr="00954144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29" w:rsidRPr="00954144" w:rsidRDefault="008D6529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44">
              <w:rPr>
                <w:rFonts w:ascii="Times New Roman" w:hAnsi="Times New Roman"/>
                <w:b/>
                <w:sz w:val="28"/>
                <w:szCs w:val="28"/>
              </w:rPr>
              <w:t>115 776,9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29" w:rsidRPr="00954144" w:rsidRDefault="008D6529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3B46" w:rsidRDefault="00B33C09" w:rsidP="008673BF">
      <w:pPr>
        <w:spacing w:after="0"/>
        <w:jc w:val="both"/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5B3B46" w:rsidRDefault="005B3B46" w:rsidP="008673BF">
      <w:pPr>
        <w:spacing w:after="0"/>
        <w:jc w:val="both"/>
      </w:pPr>
    </w:p>
    <w:p w:rsidR="005B3B46" w:rsidRDefault="005B3B46" w:rsidP="008673BF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5BFE4D2" wp14:editId="4618A44F">
            <wp:extent cx="5943600" cy="4949687"/>
            <wp:effectExtent l="0" t="0" r="19050" b="2286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211A2D" w:rsidRDefault="00E96966" w:rsidP="008673B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Рисунок 6. Выплаты Фонда в разрезе банков-партнеров</w:t>
      </w:r>
      <w:r w:rsidR="00950247">
        <w:rPr>
          <w:rFonts w:ascii="Times New Roman" w:hAnsi="Times New Roman"/>
          <w:sz w:val="26"/>
          <w:szCs w:val="26"/>
        </w:rPr>
        <w:t>.</w:t>
      </w:r>
    </w:p>
    <w:p w:rsidR="00A00698" w:rsidRDefault="00A00698" w:rsidP="008673B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64ACA" w:rsidRPr="00764ACA" w:rsidRDefault="001903B0" w:rsidP="00764AC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в 1,5 раза снизился объем выплат по требованиям по сравнению с 2016 годом.</w:t>
      </w:r>
    </w:p>
    <w:p w:rsidR="006941EE" w:rsidRPr="0045285D" w:rsidRDefault="0012009B" w:rsidP="0089357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</w:t>
      </w:r>
      <w:r w:rsidR="0045285D">
        <w:rPr>
          <w:rFonts w:ascii="Times New Roman" w:hAnsi="Times New Roman"/>
          <w:sz w:val="26"/>
          <w:szCs w:val="26"/>
        </w:rPr>
        <w:t>еализаци</w:t>
      </w:r>
      <w:r>
        <w:rPr>
          <w:rFonts w:ascii="Times New Roman" w:hAnsi="Times New Roman"/>
          <w:sz w:val="26"/>
          <w:szCs w:val="26"/>
        </w:rPr>
        <w:t>и</w:t>
      </w:r>
      <w:r w:rsidR="0045285D">
        <w:rPr>
          <w:rFonts w:ascii="Times New Roman" w:hAnsi="Times New Roman"/>
          <w:sz w:val="26"/>
          <w:szCs w:val="26"/>
        </w:rPr>
        <w:t xml:space="preserve"> Фондом прав (требования) к </w:t>
      </w:r>
      <w:r>
        <w:rPr>
          <w:rFonts w:ascii="Times New Roman" w:hAnsi="Times New Roman"/>
          <w:sz w:val="26"/>
          <w:szCs w:val="26"/>
        </w:rPr>
        <w:t>заемщику</w:t>
      </w:r>
      <w:r w:rsidR="0045285D">
        <w:rPr>
          <w:rFonts w:ascii="Times New Roman" w:hAnsi="Times New Roman"/>
          <w:sz w:val="26"/>
          <w:szCs w:val="26"/>
        </w:rPr>
        <w:t>, возникши</w:t>
      </w:r>
      <w:r w:rsidR="001D19CB">
        <w:rPr>
          <w:rFonts w:ascii="Times New Roman" w:hAnsi="Times New Roman"/>
          <w:sz w:val="26"/>
          <w:szCs w:val="26"/>
        </w:rPr>
        <w:t xml:space="preserve">х </w:t>
      </w:r>
      <w:r w:rsidR="0045285D">
        <w:rPr>
          <w:rFonts w:ascii="Times New Roman" w:hAnsi="Times New Roman"/>
          <w:sz w:val="26"/>
          <w:szCs w:val="26"/>
        </w:rPr>
        <w:t>после исполнения Фондом обязательств по договорам поручительств</w:t>
      </w:r>
      <w:r w:rsidR="001D19CB">
        <w:rPr>
          <w:rFonts w:ascii="Times New Roman" w:hAnsi="Times New Roman"/>
          <w:sz w:val="26"/>
          <w:szCs w:val="26"/>
        </w:rPr>
        <w:t>а</w:t>
      </w:r>
      <w:r w:rsidR="0045285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Фонд ведет активную </w:t>
      </w:r>
      <w:proofErr w:type="spellStart"/>
      <w:r>
        <w:rPr>
          <w:rFonts w:ascii="Times New Roman" w:hAnsi="Times New Roman"/>
          <w:sz w:val="26"/>
          <w:szCs w:val="26"/>
        </w:rPr>
        <w:t>претензионно</w:t>
      </w:r>
      <w:proofErr w:type="spellEnd"/>
      <w:r>
        <w:rPr>
          <w:rFonts w:ascii="Times New Roman" w:hAnsi="Times New Roman"/>
          <w:sz w:val="26"/>
          <w:szCs w:val="26"/>
        </w:rPr>
        <w:t>-исковую</w:t>
      </w:r>
      <w:r w:rsidR="0045285D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у</w:t>
      </w:r>
      <w:r w:rsidR="0045285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участвует в</w:t>
      </w:r>
      <w:r w:rsidR="0045285D">
        <w:rPr>
          <w:rFonts w:ascii="Times New Roman" w:hAnsi="Times New Roman"/>
          <w:sz w:val="26"/>
          <w:szCs w:val="26"/>
        </w:rPr>
        <w:t xml:space="preserve"> исполнительно</w:t>
      </w:r>
      <w:r>
        <w:rPr>
          <w:rFonts w:ascii="Times New Roman" w:hAnsi="Times New Roman"/>
          <w:sz w:val="26"/>
          <w:szCs w:val="26"/>
        </w:rPr>
        <w:t xml:space="preserve">м производстве, </w:t>
      </w:r>
      <w:r w:rsidR="0045285D">
        <w:rPr>
          <w:rFonts w:ascii="Times New Roman" w:hAnsi="Times New Roman"/>
          <w:sz w:val="26"/>
          <w:szCs w:val="26"/>
        </w:rPr>
        <w:t xml:space="preserve">в делах о несостоятельности (банкротстве) </w:t>
      </w:r>
      <w:r>
        <w:rPr>
          <w:rFonts w:ascii="Times New Roman" w:hAnsi="Times New Roman"/>
          <w:sz w:val="26"/>
          <w:szCs w:val="26"/>
        </w:rPr>
        <w:t xml:space="preserve">заемщиков (поручителей). </w:t>
      </w:r>
    </w:p>
    <w:p w:rsidR="00054959" w:rsidRPr="00054959" w:rsidRDefault="00054959" w:rsidP="0089357A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:rsidR="006C5E91" w:rsidRPr="00AE4039" w:rsidRDefault="000F4264" w:rsidP="008B36FD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8B36FD">
        <w:rPr>
          <w:rFonts w:ascii="Times New Roman" w:hAnsi="Times New Roman"/>
          <w:b/>
          <w:sz w:val="26"/>
          <w:szCs w:val="26"/>
        </w:rPr>
        <w:t>.</w:t>
      </w:r>
      <w:r w:rsidR="0051375A">
        <w:rPr>
          <w:rFonts w:ascii="Times New Roman" w:hAnsi="Times New Roman"/>
          <w:b/>
          <w:sz w:val="26"/>
          <w:szCs w:val="26"/>
        </w:rPr>
        <w:t xml:space="preserve"> </w:t>
      </w:r>
      <w:r w:rsidR="009635B4" w:rsidRPr="00AE4039">
        <w:rPr>
          <w:rFonts w:ascii="Times New Roman" w:hAnsi="Times New Roman"/>
          <w:b/>
          <w:sz w:val="26"/>
          <w:szCs w:val="26"/>
        </w:rPr>
        <w:t>Сведения о финансовых результатах и средствах</w:t>
      </w:r>
      <w:r w:rsidR="009260FE" w:rsidRPr="00AE4039">
        <w:rPr>
          <w:rFonts w:ascii="Times New Roman" w:hAnsi="Times New Roman"/>
          <w:b/>
          <w:sz w:val="26"/>
          <w:szCs w:val="26"/>
        </w:rPr>
        <w:t xml:space="preserve">  Гарантийного ф</w:t>
      </w:r>
      <w:r w:rsidR="009635B4" w:rsidRPr="00AE4039">
        <w:rPr>
          <w:rFonts w:ascii="Times New Roman" w:hAnsi="Times New Roman"/>
          <w:b/>
          <w:sz w:val="26"/>
          <w:szCs w:val="26"/>
        </w:rPr>
        <w:t>онда</w:t>
      </w:r>
      <w:r w:rsidR="0028016E">
        <w:rPr>
          <w:rFonts w:ascii="Times New Roman" w:hAnsi="Times New Roman"/>
          <w:b/>
          <w:sz w:val="26"/>
          <w:szCs w:val="26"/>
        </w:rPr>
        <w:t>.</w:t>
      </w:r>
    </w:p>
    <w:p w:rsidR="00841B8D" w:rsidRDefault="00A07865" w:rsidP="00841B8D">
      <w:pPr>
        <w:spacing w:after="0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A07865" w:rsidRPr="008D6529" w:rsidRDefault="00A07865" w:rsidP="001200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D6529">
        <w:rPr>
          <w:rFonts w:ascii="Times New Roman" w:hAnsi="Times New Roman"/>
          <w:sz w:val="26"/>
          <w:szCs w:val="26"/>
        </w:rPr>
        <w:t>В рамках осуществления уставной деятельности показатели, характеризирующие финансовое положение и финансовые результаты Фонда</w:t>
      </w:r>
      <w:r w:rsidR="00841B8D" w:rsidRPr="008D6529">
        <w:rPr>
          <w:rFonts w:ascii="Times New Roman" w:hAnsi="Times New Roman"/>
          <w:sz w:val="26"/>
          <w:szCs w:val="26"/>
        </w:rPr>
        <w:t>,</w:t>
      </w:r>
      <w:r w:rsidRPr="008D6529">
        <w:rPr>
          <w:rFonts w:ascii="Times New Roman" w:hAnsi="Times New Roman"/>
          <w:sz w:val="26"/>
          <w:szCs w:val="26"/>
        </w:rPr>
        <w:t xml:space="preserve"> показывают положительную динамику.</w:t>
      </w:r>
    </w:p>
    <w:p w:rsidR="00614873" w:rsidRPr="009969A0" w:rsidRDefault="00A07865" w:rsidP="001200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00452">
        <w:rPr>
          <w:rFonts w:ascii="Times New Roman" w:hAnsi="Times New Roman"/>
          <w:sz w:val="26"/>
          <w:szCs w:val="26"/>
        </w:rPr>
        <w:t xml:space="preserve">Так, за </w:t>
      </w:r>
      <w:r w:rsidR="000A4818">
        <w:rPr>
          <w:rFonts w:ascii="Times New Roman" w:hAnsi="Times New Roman"/>
          <w:sz w:val="26"/>
          <w:szCs w:val="26"/>
        </w:rPr>
        <w:t>2017</w:t>
      </w:r>
      <w:r w:rsidRPr="00600452">
        <w:rPr>
          <w:rFonts w:ascii="Times New Roman" w:hAnsi="Times New Roman"/>
          <w:sz w:val="26"/>
          <w:szCs w:val="26"/>
        </w:rPr>
        <w:t xml:space="preserve"> год от уставной деятельности Фондом была получен  доход  в размере </w:t>
      </w:r>
      <w:r w:rsidR="00C32666">
        <w:rPr>
          <w:rFonts w:ascii="Times New Roman" w:hAnsi="Times New Roman"/>
          <w:bCs/>
          <w:sz w:val="26"/>
          <w:szCs w:val="26"/>
        </w:rPr>
        <w:t>45 668</w:t>
      </w:r>
      <w:r w:rsidRPr="0060045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00452" w:rsidRPr="00600452">
        <w:rPr>
          <w:rFonts w:ascii="Times New Roman" w:hAnsi="Times New Roman"/>
          <w:sz w:val="26"/>
          <w:szCs w:val="26"/>
        </w:rPr>
        <w:t xml:space="preserve">тыс. рублей, в том числе </w:t>
      </w:r>
      <w:r w:rsidR="00C32666">
        <w:rPr>
          <w:rFonts w:ascii="Times New Roman" w:hAnsi="Times New Roman"/>
          <w:sz w:val="26"/>
          <w:szCs w:val="26"/>
        </w:rPr>
        <w:t xml:space="preserve">8 663 </w:t>
      </w:r>
      <w:r w:rsidRPr="00600452">
        <w:rPr>
          <w:rFonts w:ascii="Times New Roman" w:hAnsi="Times New Roman"/>
          <w:sz w:val="26"/>
          <w:szCs w:val="26"/>
        </w:rPr>
        <w:t xml:space="preserve">тыс. руб. – </w:t>
      </w:r>
      <w:r w:rsidR="00C32666">
        <w:rPr>
          <w:rFonts w:ascii="Times New Roman" w:hAnsi="Times New Roman"/>
          <w:sz w:val="26"/>
          <w:szCs w:val="26"/>
        </w:rPr>
        <w:t>вознаграждение</w:t>
      </w:r>
      <w:r w:rsidRPr="00600452">
        <w:rPr>
          <w:rFonts w:ascii="Times New Roman" w:hAnsi="Times New Roman"/>
          <w:sz w:val="26"/>
          <w:szCs w:val="26"/>
        </w:rPr>
        <w:t xml:space="preserve"> </w:t>
      </w:r>
      <w:r w:rsidR="00C32666">
        <w:rPr>
          <w:rFonts w:ascii="Times New Roman" w:hAnsi="Times New Roman"/>
          <w:sz w:val="26"/>
          <w:szCs w:val="26"/>
        </w:rPr>
        <w:t>за предоставление поручительств, 34 552</w:t>
      </w:r>
      <w:r w:rsidR="00600452" w:rsidRPr="00600452">
        <w:rPr>
          <w:rFonts w:ascii="Times New Roman" w:hAnsi="Times New Roman"/>
          <w:sz w:val="26"/>
          <w:szCs w:val="26"/>
        </w:rPr>
        <w:t xml:space="preserve"> </w:t>
      </w:r>
      <w:r w:rsidRPr="00600452">
        <w:rPr>
          <w:rFonts w:ascii="Times New Roman" w:hAnsi="Times New Roman"/>
          <w:sz w:val="26"/>
          <w:szCs w:val="26"/>
        </w:rPr>
        <w:t xml:space="preserve">тыс. руб. – </w:t>
      </w:r>
      <w:r w:rsidR="00C32666">
        <w:rPr>
          <w:rFonts w:ascii="Times New Roman" w:hAnsi="Times New Roman"/>
          <w:sz w:val="26"/>
          <w:szCs w:val="26"/>
        </w:rPr>
        <w:t>процентный доход.</w:t>
      </w:r>
      <w:r w:rsidR="00C32666" w:rsidRPr="002C6156">
        <w:rPr>
          <w:rFonts w:ascii="Times New Roman" w:hAnsi="Times New Roman"/>
          <w:sz w:val="26"/>
          <w:szCs w:val="26"/>
        </w:rPr>
        <w:t xml:space="preserve"> </w:t>
      </w:r>
      <w:r w:rsidRPr="002C6156">
        <w:rPr>
          <w:rFonts w:ascii="Times New Roman" w:hAnsi="Times New Roman"/>
          <w:sz w:val="26"/>
          <w:szCs w:val="26"/>
        </w:rPr>
        <w:t xml:space="preserve">Операционные расходы Фонда за </w:t>
      </w:r>
      <w:r w:rsidR="000A4818">
        <w:rPr>
          <w:rFonts w:ascii="Times New Roman" w:hAnsi="Times New Roman"/>
          <w:sz w:val="26"/>
          <w:szCs w:val="26"/>
        </w:rPr>
        <w:t>2017</w:t>
      </w:r>
      <w:r w:rsidRPr="002C6156">
        <w:rPr>
          <w:rFonts w:ascii="Times New Roman" w:hAnsi="Times New Roman"/>
          <w:sz w:val="26"/>
          <w:szCs w:val="26"/>
        </w:rPr>
        <w:t xml:space="preserve"> год составили </w:t>
      </w:r>
      <w:r w:rsidR="00C32666">
        <w:rPr>
          <w:rFonts w:ascii="Times New Roman" w:hAnsi="Times New Roman"/>
          <w:bCs/>
          <w:sz w:val="26"/>
          <w:szCs w:val="26"/>
        </w:rPr>
        <w:t>11 395</w:t>
      </w:r>
      <w:r w:rsidRPr="002C61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C6156">
        <w:rPr>
          <w:rFonts w:ascii="Times New Roman" w:hAnsi="Times New Roman"/>
          <w:sz w:val="26"/>
          <w:szCs w:val="26"/>
        </w:rPr>
        <w:t>тыс. руб</w:t>
      </w:r>
      <w:r w:rsidR="0075051B">
        <w:rPr>
          <w:rFonts w:ascii="Times New Roman" w:hAnsi="Times New Roman"/>
          <w:sz w:val="26"/>
          <w:szCs w:val="26"/>
        </w:rPr>
        <w:t>.</w:t>
      </w:r>
      <w:r w:rsidR="001B7C9A" w:rsidRPr="009969A0">
        <w:rPr>
          <w:rFonts w:ascii="Times New Roman" w:hAnsi="Times New Roman"/>
          <w:sz w:val="26"/>
          <w:szCs w:val="26"/>
        </w:rPr>
        <w:t xml:space="preserve"> </w:t>
      </w:r>
      <w:r w:rsidR="003E6F50">
        <w:rPr>
          <w:rFonts w:ascii="Times New Roman" w:hAnsi="Times New Roman"/>
          <w:sz w:val="26"/>
          <w:szCs w:val="26"/>
        </w:rPr>
        <w:t>Р</w:t>
      </w:r>
      <w:r w:rsidR="00593159" w:rsidRPr="009969A0">
        <w:rPr>
          <w:rFonts w:ascii="Times New Roman" w:hAnsi="Times New Roman"/>
          <w:sz w:val="26"/>
          <w:szCs w:val="26"/>
        </w:rPr>
        <w:t xml:space="preserve">езультаты финансовой деятельности представлены в таблице </w:t>
      </w:r>
      <w:r w:rsidR="00290879" w:rsidRPr="009969A0">
        <w:rPr>
          <w:rFonts w:ascii="Times New Roman" w:hAnsi="Times New Roman"/>
          <w:sz w:val="26"/>
          <w:szCs w:val="26"/>
        </w:rPr>
        <w:t>9</w:t>
      </w:r>
      <w:r w:rsidR="00593159" w:rsidRPr="009969A0">
        <w:rPr>
          <w:rFonts w:ascii="Times New Roman" w:hAnsi="Times New Roman"/>
          <w:sz w:val="26"/>
          <w:szCs w:val="26"/>
        </w:rPr>
        <w:t>.</w:t>
      </w:r>
    </w:p>
    <w:p w:rsidR="00DD413D" w:rsidRPr="0089357A" w:rsidRDefault="00DD413D" w:rsidP="00614873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5E7F2B" w:rsidRPr="009969A0" w:rsidRDefault="00614873" w:rsidP="0061487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969A0">
        <w:rPr>
          <w:rFonts w:ascii="Times New Roman" w:hAnsi="Times New Roman"/>
          <w:sz w:val="26"/>
          <w:szCs w:val="26"/>
        </w:rPr>
        <w:t xml:space="preserve">Таблица </w:t>
      </w:r>
      <w:r w:rsidR="00290879" w:rsidRPr="009969A0">
        <w:rPr>
          <w:rFonts w:ascii="Times New Roman" w:hAnsi="Times New Roman"/>
          <w:sz w:val="26"/>
          <w:szCs w:val="26"/>
        </w:rPr>
        <w:t>9</w:t>
      </w:r>
    </w:p>
    <w:tbl>
      <w:tblPr>
        <w:tblW w:w="992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662"/>
        <w:gridCol w:w="2517"/>
      </w:tblGrid>
      <w:tr w:rsidR="009969A0" w:rsidRPr="009969A0" w:rsidTr="00600452">
        <w:trPr>
          <w:trHeight w:val="544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Сумма, тыс. руб.</w:t>
            </w:r>
          </w:p>
        </w:tc>
      </w:tr>
      <w:tr w:rsidR="009969A0" w:rsidRPr="009969A0" w:rsidTr="00600452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969A0" w:rsidRPr="009969A0" w:rsidTr="00600452">
        <w:trPr>
          <w:trHeight w:val="2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52" w:rsidRPr="009969A0" w:rsidRDefault="00600452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452" w:rsidRPr="009969A0" w:rsidRDefault="00600452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Финансовый результат на начало периода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452" w:rsidRPr="002C6156" w:rsidRDefault="00C32666" w:rsidP="00C3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762,4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2C6156" w:rsidRDefault="00C32666" w:rsidP="00C3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45 667,8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Вознаграждение за выданное поручительство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2C6156" w:rsidRDefault="00C32666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8 662,7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 xml:space="preserve">Доход от размещения средств на депозите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2C6156" w:rsidRDefault="00C32666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34 552,2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Прочие доходы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2C6156" w:rsidRDefault="00C32666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2 455,1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2C6156" w:rsidRDefault="00C32666" w:rsidP="00C3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12 690,1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9A" w:rsidRPr="009969A0" w:rsidRDefault="000B142A" w:rsidP="000B14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Операционные расходы (административно-хозяйственные расходы, которые несет Фонд в рамках регулярной деятельности по предоставлению поручительств)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9A" w:rsidRPr="002C6156" w:rsidRDefault="00C32666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11 394,5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9A" w:rsidRPr="009969A0" w:rsidRDefault="000B142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Налог УСНО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2C6156" w:rsidRDefault="00C32666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1 295,6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42A" w:rsidRPr="009969A0" w:rsidRDefault="009969A0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42A" w:rsidRPr="009969A0" w:rsidRDefault="000B142A" w:rsidP="00BD653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Финансовый результат за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42A" w:rsidRPr="002C6156" w:rsidRDefault="005367A4" w:rsidP="000B1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32 977,7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452" w:rsidRPr="009969A0" w:rsidRDefault="009969A0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452" w:rsidRPr="009969A0" w:rsidRDefault="00600452" w:rsidP="00BD653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Выплаты по поручительствам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452" w:rsidRPr="002C6156" w:rsidRDefault="005367A4" w:rsidP="00BD6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26 256,1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452" w:rsidRPr="009969A0" w:rsidRDefault="00600452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452" w:rsidRPr="009969A0" w:rsidRDefault="00600452" w:rsidP="0060045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Финансовый результат на конец периода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452" w:rsidRPr="002C6156" w:rsidRDefault="005367A4" w:rsidP="00AA6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7 484,0</w:t>
            </w:r>
          </w:p>
        </w:tc>
      </w:tr>
    </w:tbl>
    <w:p w:rsidR="00A07865" w:rsidRPr="0089357A" w:rsidRDefault="00A07865" w:rsidP="00614873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sectPr w:rsidR="00A07865" w:rsidRPr="0089357A" w:rsidSect="0091294E">
      <w:footerReference w:type="default" r:id="rId65"/>
      <w:pgSz w:w="11906" w:h="16838"/>
      <w:pgMar w:top="851" w:right="1134" w:bottom="284" w:left="1418" w:header="709" w:footer="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DB" w:rsidRDefault="006773DB" w:rsidP="006B56BB">
      <w:pPr>
        <w:spacing w:after="0" w:line="240" w:lineRule="auto"/>
      </w:pPr>
      <w:r>
        <w:separator/>
      </w:r>
    </w:p>
  </w:endnote>
  <w:endnote w:type="continuationSeparator" w:id="0">
    <w:p w:rsidR="006773DB" w:rsidRDefault="006773DB" w:rsidP="006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21" w:rsidRDefault="007F2B2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73F1">
      <w:rPr>
        <w:noProof/>
      </w:rPr>
      <w:t>16</w:t>
    </w:r>
    <w:r>
      <w:fldChar w:fldCharType="end"/>
    </w:r>
  </w:p>
  <w:p w:rsidR="007F2B21" w:rsidRDefault="007F2B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DB" w:rsidRDefault="006773DB" w:rsidP="006B56BB">
      <w:pPr>
        <w:spacing w:after="0" w:line="240" w:lineRule="auto"/>
      </w:pPr>
      <w:r>
        <w:separator/>
      </w:r>
    </w:p>
  </w:footnote>
  <w:footnote w:type="continuationSeparator" w:id="0">
    <w:p w:rsidR="006773DB" w:rsidRDefault="006773DB" w:rsidP="006B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489"/>
    <w:multiLevelType w:val="hybridMultilevel"/>
    <w:tmpl w:val="9E78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703C1"/>
    <w:multiLevelType w:val="multilevel"/>
    <w:tmpl w:val="23DADA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5" w:hanging="1800"/>
      </w:pPr>
      <w:rPr>
        <w:rFonts w:hint="default"/>
      </w:rPr>
    </w:lvl>
  </w:abstractNum>
  <w:abstractNum w:abstractNumId="2">
    <w:nsid w:val="5C9929CC"/>
    <w:multiLevelType w:val="multilevel"/>
    <w:tmpl w:val="23DADA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AD4479"/>
    <w:multiLevelType w:val="hybridMultilevel"/>
    <w:tmpl w:val="40B8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31"/>
    <w:rsid w:val="00000D0D"/>
    <w:rsid w:val="00002341"/>
    <w:rsid w:val="000070E1"/>
    <w:rsid w:val="00013229"/>
    <w:rsid w:val="00022363"/>
    <w:rsid w:val="00023910"/>
    <w:rsid w:val="00023D53"/>
    <w:rsid w:val="000244DD"/>
    <w:rsid w:val="00025EBA"/>
    <w:rsid w:val="00030E0C"/>
    <w:rsid w:val="00032CB3"/>
    <w:rsid w:val="000336BD"/>
    <w:rsid w:val="00036852"/>
    <w:rsid w:val="000428CD"/>
    <w:rsid w:val="00043633"/>
    <w:rsid w:val="00044467"/>
    <w:rsid w:val="00054388"/>
    <w:rsid w:val="00054959"/>
    <w:rsid w:val="0006183E"/>
    <w:rsid w:val="0006188E"/>
    <w:rsid w:val="00063D51"/>
    <w:rsid w:val="0006411D"/>
    <w:rsid w:val="000728BF"/>
    <w:rsid w:val="00075850"/>
    <w:rsid w:val="000815D0"/>
    <w:rsid w:val="00081A54"/>
    <w:rsid w:val="0008337D"/>
    <w:rsid w:val="000836FA"/>
    <w:rsid w:val="00091FD9"/>
    <w:rsid w:val="00094EBC"/>
    <w:rsid w:val="00095619"/>
    <w:rsid w:val="00096CBA"/>
    <w:rsid w:val="00097B11"/>
    <w:rsid w:val="000A4818"/>
    <w:rsid w:val="000A6F63"/>
    <w:rsid w:val="000A764E"/>
    <w:rsid w:val="000B142A"/>
    <w:rsid w:val="000B3222"/>
    <w:rsid w:val="000B608F"/>
    <w:rsid w:val="000B762F"/>
    <w:rsid w:val="000C11AB"/>
    <w:rsid w:val="000C1B1C"/>
    <w:rsid w:val="000C29F0"/>
    <w:rsid w:val="000C2BB6"/>
    <w:rsid w:val="000C3E8C"/>
    <w:rsid w:val="000C54A8"/>
    <w:rsid w:val="000C6A0C"/>
    <w:rsid w:val="000D5793"/>
    <w:rsid w:val="000D5948"/>
    <w:rsid w:val="000D7D60"/>
    <w:rsid w:val="000E257E"/>
    <w:rsid w:val="000F14C5"/>
    <w:rsid w:val="000F33BE"/>
    <w:rsid w:val="000F4264"/>
    <w:rsid w:val="000F73AB"/>
    <w:rsid w:val="00100771"/>
    <w:rsid w:val="00100FA0"/>
    <w:rsid w:val="00102B15"/>
    <w:rsid w:val="001077F1"/>
    <w:rsid w:val="00111FD6"/>
    <w:rsid w:val="0012009B"/>
    <w:rsid w:val="00126B80"/>
    <w:rsid w:val="001276AD"/>
    <w:rsid w:val="001320AF"/>
    <w:rsid w:val="00133D8E"/>
    <w:rsid w:val="001377F4"/>
    <w:rsid w:val="001401B9"/>
    <w:rsid w:val="001449D1"/>
    <w:rsid w:val="00145659"/>
    <w:rsid w:val="00150247"/>
    <w:rsid w:val="00151A96"/>
    <w:rsid w:val="001536BC"/>
    <w:rsid w:val="001608EC"/>
    <w:rsid w:val="00163A86"/>
    <w:rsid w:val="001669D0"/>
    <w:rsid w:val="001705C8"/>
    <w:rsid w:val="00172FDD"/>
    <w:rsid w:val="0017390B"/>
    <w:rsid w:val="00176915"/>
    <w:rsid w:val="001774DE"/>
    <w:rsid w:val="001803CD"/>
    <w:rsid w:val="00181686"/>
    <w:rsid w:val="00183C37"/>
    <w:rsid w:val="00183D6B"/>
    <w:rsid w:val="00184C8F"/>
    <w:rsid w:val="00185833"/>
    <w:rsid w:val="0018649D"/>
    <w:rsid w:val="001868F3"/>
    <w:rsid w:val="001903B0"/>
    <w:rsid w:val="00190842"/>
    <w:rsid w:val="00192E5C"/>
    <w:rsid w:val="001933AB"/>
    <w:rsid w:val="0019498A"/>
    <w:rsid w:val="001950BF"/>
    <w:rsid w:val="00195CC4"/>
    <w:rsid w:val="001970F4"/>
    <w:rsid w:val="001A753C"/>
    <w:rsid w:val="001B2A3A"/>
    <w:rsid w:val="001B5177"/>
    <w:rsid w:val="001B5ED7"/>
    <w:rsid w:val="001B6747"/>
    <w:rsid w:val="001B7C9A"/>
    <w:rsid w:val="001B7E41"/>
    <w:rsid w:val="001C1DC9"/>
    <w:rsid w:val="001C38F5"/>
    <w:rsid w:val="001C55A1"/>
    <w:rsid w:val="001C5E08"/>
    <w:rsid w:val="001C61D8"/>
    <w:rsid w:val="001C6BB2"/>
    <w:rsid w:val="001C6C93"/>
    <w:rsid w:val="001D19CB"/>
    <w:rsid w:val="001D232C"/>
    <w:rsid w:val="001D31D4"/>
    <w:rsid w:val="001D4A38"/>
    <w:rsid w:val="001D5C24"/>
    <w:rsid w:val="001D6042"/>
    <w:rsid w:val="001E0ACC"/>
    <w:rsid w:val="001E20D0"/>
    <w:rsid w:val="001E3233"/>
    <w:rsid w:val="001E6C21"/>
    <w:rsid w:val="001E7F82"/>
    <w:rsid w:val="001F03AC"/>
    <w:rsid w:val="001F0886"/>
    <w:rsid w:val="001F2545"/>
    <w:rsid w:val="001F29CD"/>
    <w:rsid w:val="001F2E1E"/>
    <w:rsid w:val="001F3CE0"/>
    <w:rsid w:val="001F5351"/>
    <w:rsid w:val="001F55DB"/>
    <w:rsid w:val="00204F68"/>
    <w:rsid w:val="00206193"/>
    <w:rsid w:val="00211A2D"/>
    <w:rsid w:val="00213CE9"/>
    <w:rsid w:val="002140B5"/>
    <w:rsid w:val="00215A95"/>
    <w:rsid w:val="00216F28"/>
    <w:rsid w:val="002208CD"/>
    <w:rsid w:val="002212ED"/>
    <w:rsid w:val="002222A3"/>
    <w:rsid w:val="00222F30"/>
    <w:rsid w:val="00250DB4"/>
    <w:rsid w:val="0025424A"/>
    <w:rsid w:val="0025523B"/>
    <w:rsid w:val="00257D92"/>
    <w:rsid w:val="00262BC2"/>
    <w:rsid w:val="00265733"/>
    <w:rsid w:val="002675E8"/>
    <w:rsid w:val="0027173F"/>
    <w:rsid w:val="002770B0"/>
    <w:rsid w:val="0028016E"/>
    <w:rsid w:val="00283532"/>
    <w:rsid w:val="00284251"/>
    <w:rsid w:val="002861FF"/>
    <w:rsid w:val="002907E0"/>
    <w:rsid w:val="00290879"/>
    <w:rsid w:val="00293805"/>
    <w:rsid w:val="00293EB2"/>
    <w:rsid w:val="00294BF7"/>
    <w:rsid w:val="00295357"/>
    <w:rsid w:val="00297D1B"/>
    <w:rsid w:val="002A0B9F"/>
    <w:rsid w:val="002A2A9B"/>
    <w:rsid w:val="002A3320"/>
    <w:rsid w:val="002A3EAE"/>
    <w:rsid w:val="002A4CDB"/>
    <w:rsid w:val="002A6EB1"/>
    <w:rsid w:val="002A725C"/>
    <w:rsid w:val="002B2D02"/>
    <w:rsid w:val="002B2E2A"/>
    <w:rsid w:val="002B3AFD"/>
    <w:rsid w:val="002B6D97"/>
    <w:rsid w:val="002B7081"/>
    <w:rsid w:val="002B7A1C"/>
    <w:rsid w:val="002C06CD"/>
    <w:rsid w:val="002C09E0"/>
    <w:rsid w:val="002C3587"/>
    <w:rsid w:val="002C6156"/>
    <w:rsid w:val="002C631D"/>
    <w:rsid w:val="002C703A"/>
    <w:rsid w:val="002D0CD5"/>
    <w:rsid w:val="002D3BB3"/>
    <w:rsid w:val="002D477F"/>
    <w:rsid w:val="002E53F7"/>
    <w:rsid w:val="002F20C8"/>
    <w:rsid w:val="002F2A7F"/>
    <w:rsid w:val="002F7279"/>
    <w:rsid w:val="002F7AAB"/>
    <w:rsid w:val="003000F5"/>
    <w:rsid w:val="00300936"/>
    <w:rsid w:val="00301302"/>
    <w:rsid w:val="0030333F"/>
    <w:rsid w:val="00303414"/>
    <w:rsid w:val="00305EBE"/>
    <w:rsid w:val="00305F69"/>
    <w:rsid w:val="003105B4"/>
    <w:rsid w:val="00311A50"/>
    <w:rsid w:val="003124EF"/>
    <w:rsid w:val="00312613"/>
    <w:rsid w:val="00313090"/>
    <w:rsid w:val="00321678"/>
    <w:rsid w:val="0032233E"/>
    <w:rsid w:val="0032346E"/>
    <w:rsid w:val="003302F0"/>
    <w:rsid w:val="00334C8D"/>
    <w:rsid w:val="00343E52"/>
    <w:rsid w:val="00347780"/>
    <w:rsid w:val="00347E31"/>
    <w:rsid w:val="003502BF"/>
    <w:rsid w:val="00350A7D"/>
    <w:rsid w:val="00354267"/>
    <w:rsid w:val="00356C7C"/>
    <w:rsid w:val="00357423"/>
    <w:rsid w:val="00360080"/>
    <w:rsid w:val="00360875"/>
    <w:rsid w:val="003611D9"/>
    <w:rsid w:val="00365411"/>
    <w:rsid w:val="00366E90"/>
    <w:rsid w:val="0037194D"/>
    <w:rsid w:val="0037656D"/>
    <w:rsid w:val="00381E4E"/>
    <w:rsid w:val="00384BA2"/>
    <w:rsid w:val="0039088F"/>
    <w:rsid w:val="003931C0"/>
    <w:rsid w:val="00393751"/>
    <w:rsid w:val="00395E5C"/>
    <w:rsid w:val="003A5FC0"/>
    <w:rsid w:val="003A68AD"/>
    <w:rsid w:val="003B11C6"/>
    <w:rsid w:val="003B3495"/>
    <w:rsid w:val="003B5B3A"/>
    <w:rsid w:val="003C6D74"/>
    <w:rsid w:val="003D04CB"/>
    <w:rsid w:val="003D235A"/>
    <w:rsid w:val="003D7D9D"/>
    <w:rsid w:val="003E0059"/>
    <w:rsid w:val="003E2337"/>
    <w:rsid w:val="003E49E3"/>
    <w:rsid w:val="003E6BD6"/>
    <w:rsid w:val="003E6F50"/>
    <w:rsid w:val="003E7380"/>
    <w:rsid w:val="003E7FAA"/>
    <w:rsid w:val="003F0E10"/>
    <w:rsid w:val="003F1A93"/>
    <w:rsid w:val="003F397A"/>
    <w:rsid w:val="00400B9E"/>
    <w:rsid w:val="00400EAD"/>
    <w:rsid w:val="004033A5"/>
    <w:rsid w:val="004037CD"/>
    <w:rsid w:val="00404500"/>
    <w:rsid w:val="00404514"/>
    <w:rsid w:val="004045C2"/>
    <w:rsid w:val="00407B0D"/>
    <w:rsid w:val="00414B7A"/>
    <w:rsid w:val="004154BE"/>
    <w:rsid w:val="0042062F"/>
    <w:rsid w:val="00420971"/>
    <w:rsid w:val="004237CE"/>
    <w:rsid w:val="00423913"/>
    <w:rsid w:val="004253DC"/>
    <w:rsid w:val="0042680E"/>
    <w:rsid w:val="00426CAF"/>
    <w:rsid w:val="00427FDA"/>
    <w:rsid w:val="00431775"/>
    <w:rsid w:val="004329DD"/>
    <w:rsid w:val="0043546D"/>
    <w:rsid w:val="00440D27"/>
    <w:rsid w:val="004415ED"/>
    <w:rsid w:val="0045105A"/>
    <w:rsid w:val="0045285D"/>
    <w:rsid w:val="004578D9"/>
    <w:rsid w:val="00457E9E"/>
    <w:rsid w:val="00461841"/>
    <w:rsid w:val="004677D9"/>
    <w:rsid w:val="004707A3"/>
    <w:rsid w:val="004707F7"/>
    <w:rsid w:val="00475EC9"/>
    <w:rsid w:val="00482F45"/>
    <w:rsid w:val="0048779D"/>
    <w:rsid w:val="0048795C"/>
    <w:rsid w:val="00491970"/>
    <w:rsid w:val="00491DA9"/>
    <w:rsid w:val="004960CC"/>
    <w:rsid w:val="004A681B"/>
    <w:rsid w:val="004A7A28"/>
    <w:rsid w:val="004B3E8E"/>
    <w:rsid w:val="004B4A16"/>
    <w:rsid w:val="004B6C93"/>
    <w:rsid w:val="004B7B87"/>
    <w:rsid w:val="004C1557"/>
    <w:rsid w:val="004C480B"/>
    <w:rsid w:val="004C577D"/>
    <w:rsid w:val="004D0386"/>
    <w:rsid w:val="004D0D18"/>
    <w:rsid w:val="004D0F71"/>
    <w:rsid w:val="004D3801"/>
    <w:rsid w:val="004D7237"/>
    <w:rsid w:val="004E2FAD"/>
    <w:rsid w:val="004E6DA0"/>
    <w:rsid w:val="004F3B35"/>
    <w:rsid w:val="004F5710"/>
    <w:rsid w:val="004F6463"/>
    <w:rsid w:val="005027B1"/>
    <w:rsid w:val="00502C3B"/>
    <w:rsid w:val="0050423C"/>
    <w:rsid w:val="00505315"/>
    <w:rsid w:val="005054F7"/>
    <w:rsid w:val="00505AA1"/>
    <w:rsid w:val="00507ADF"/>
    <w:rsid w:val="00507ECC"/>
    <w:rsid w:val="005102D0"/>
    <w:rsid w:val="0051173B"/>
    <w:rsid w:val="00512420"/>
    <w:rsid w:val="00512C64"/>
    <w:rsid w:val="0051375A"/>
    <w:rsid w:val="00514352"/>
    <w:rsid w:val="0051554F"/>
    <w:rsid w:val="00522603"/>
    <w:rsid w:val="005232BF"/>
    <w:rsid w:val="005264BB"/>
    <w:rsid w:val="00530BD2"/>
    <w:rsid w:val="00531A8E"/>
    <w:rsid w:val="00533683"/>
    <w:rsid w:val="005344A9"/>
    <w:rsid w:val="005353D1"/>
    <w:rsid w:val="005366C5"/>
    <w:rsid w:val="005367A4"/>
    <w:rsid w:val="0053729E"/>
    <w:rsid w:val="00537675"/>
    <w:rsid w:val="00537A93"/>
    <w:rsid w:val="00540685"/>
    <w:rsid w:val="00541849"/>
    <w:rsid w:val="00544798"/>
    <w:rsid w:val="005520A1"/>
    <w:rsid w:val="0055517F"/>
    <w:rsid w:val="005605E7"/>
    <w:rsid w:val="00561697"/>
    <w:rsid w:val="00566C5F"/>
    <w:rsid w:val="0057182A"/>
    <w:rsid w:val="0057574C"/>
    <w:rsid w:val="0058158E"/>
    <w:rsid w:val="00581C35"/>
    <w:rsid w:val="00581DF5"/>
    <w:rsid w:val="00581E13"/>
    <w:rsid w:val="005834DB"/>
    <w:rsid w:val="00593159"/>
    <w:rsid w:val="00593EA6"/>
    <w:rsid w:val="005A066E"/>
    <w:rsid w:val="005A0EEE"/>
    <w:rsid w:val="005A36DA"/>
    <w:rsid w:val="005A4C79"/>
    <w:rsid w:val="005B0F02"/>
    <w:rsid w:val="005B3B46"/>
    <w:rsid w:val="005B687C"/>
    <w:rsid w:val="005C0A58"/>
    <w:rsid w:val="005C102E"/>
    <w:rsid w:val="005C1BD6"/>
    <w:rsid w:val="005C4DFA"/>
    <w:rsid w:val="005C5376"/>
    <w:rsid w:val="005C64B2"/>
    <w:rsid w:val="005C6519"/>
    <w:rsid w:val="005C6F06"/>
    <w:rsid w:val="005C7175"/>
    <w:rsid w:val="005D1AB1"/>
    <w:rsid w:val="005D1B4B"/>
    <w:rsid w:val="005D1D04"/>
    <w:rsid w:val="005D1F23"/>
    <w:rsid w:val="005D34D7"/>
    <w:rsid w:val="005D4F71"/>
    <w:rsid w:val="005D55E7"/>
    <w:rsid w:val="005D65FD"/>
    <w:rsid w:val="005E0FD7"/>
    <w:rsid w:val="005E1259"/>
    <w:rsid w:val="005E3879"/>
    <w:rsid w:val="005E60AB"/>
    <w:rsid w:val="005E686B"/>
    <w:rsid w:val="005E6B85"/>
    <w:rsid w:val="005E7030"/>
    <w:rsid w:val="005E7F2B"/>
    <w:rsid w:val="005F0B27"/>
    <w:rsid w:val="005F2426"/>
    <w:rsid w:val="005F2D37"/>
    <w:rsid w:val="005F604F"/>
    <w:rsid w:val="005F709A"/>
    <w:rsid w:val="00600452"/>
    <w:rsid w:val="00600492"/>
    <w:rsid w:val="006021AC"/>
    <w:rsid w:val="00603FEE"/>
    <w:rsid w:val="00604850"/>
    <w:rsid w:val="006055E8"/>
    <w:rsid w:val="0061271E"/>
    <w:rsid w:val="0061407E"/>
    <w:rsid w:val="00614713"/>
    <w:rsid w:val="00614873"/>
    <w:rsid w:val="00616E88"/>
    <w:rsid w:val="00620D42"/>
    <w:rsid w:val="0062198E"/>
    <w:rsid w:val="006219A2"/>
    <w:rsid w:val="00622285"/>
    <w:rsid w:val="00622D72"/>
    <w:rsid w:val="006235BD"/>
    <w:rsid w:val="00623CC2"/>
    <w:rsid w:val="00624CF8"/>
    <w:rsid w:val="00634A1D"/>
    <w:rsid w:val="006415C3"/>
    <w:rsid w:val="0064709D"/>
    <w:rsid w:val="00650FCD"/>
    <w:rsid w:val="00654A94"/>
    <w:rsid w:val="00657D56"/>
    <w:rsid w:val="0066029C"/>
    <w:rsid w:val="0066082D"/>
    <w:rsid w:val="00661D35"/>
    <w:rsid w:val="00664058"/>
    <w:rsid w:val="00666F6F"/>
    <w:rsid w:val="00671FA2"/>
    <w:rsid w:val="006773DB"/>
    <w:rsid w:val="0068256D"/>
    <w:rsid w:val="00684B2E"/>
    <w:rsid w:val="00685EA7"/>
    <w:rsid w:val="00686732"/>
    <w:rsid w:val="00686D33"/>
    <w:rsid w:val="0068723B"/>
    <w:rsid w:val="006941BF"/>
    <w:rsid w:val="006941EE"/>
    <w:rsid w:val="0069470E"/>
    <w:rsid w:val="006979E1"/>
    <w:rsid w:val="006A0FFB"/>
    <w:rsid w:val="006A3708"/>
    <w:rsid w:val="006A3B77"/>
    <w:rsid w:val="006A4D38"/>
    <w:rsid w:val="006A70F4"/>
    <w:rsid w:val="006B0BF4"/>
    <w:rsid w:val="006B54C0"/>
    <w:rsid w:val="006B56BB"/>
    <w:rsid w:val="006C2AF3"/>
    <w:rsid w:val="006C45B9"/>
    <w:rsid w:val="006C5013"/>
    <w:rsid w:val="006C5E91"/>
    <w:rsid w:val="006C67AC"/>
    <w:rsid w:val="006D19A6"/>
    <w:rsid w:val="006D39E3"/>
    <w:rsid w:val="006D4064"/>
    <w:rsid w:val="006D4F8F"/>
    <w:rsid w:val="006D6E9B"/>
    <w:rsid w:val="006E0A70"/>
    <w:rsid w:val="006E0C02"/>
    <w:rsid w:val="006E111F"/>
    <w:rsid w:val="006E55D3"/>
    <w:rsid w:val="006E5982"/>
    <w:rsid w:val="006F07C3"/>
    <w:rsid w:val="006F2736"/>
    <w:rsid w:val="006F4E47"/>
    <w:rsid w:val="006F593D"/>
    <w:rsid w:val="006F797C"/>
    <w:rsid w:val="00700AFE"/>
    <w:rsid w:val="00701477"/>
    <w:rsid w:val="00704D75"/>
    <w:rsid w:val="00705388"/>
    <w:rsid w:val="00705745"/>
    <w:rsid w:val="007063BA"/>
    <w:rsid w:val="007068BD"/>
    <w:rsid w:val="00706DDC"/>
    <w:rsid w:val="0070702C"/>
    <w:rsid w:val="0071324D"/>
    <w:rsid w:val="00713B3A"/>
    <w:rsid w:val="0071417A"/>
    <w:rsid w:val="00717F92"/>
    <w:rsid w:val="0072072D"/>
    <w:rsid w:val="00720B54"/>
    <w:rsid w:val="00720CB0"/>
    <w:rsid w:val="00722841"/>
    <w:rsid w:val="00722F89"/>
    <w:rsid w:val="00723221"/>
    <w:rsid w:val="00723C7E"/>
    <w:rsid w:val="007335D8"/>
    <w:rsid w:val="0073394B"/>
    <w:rsid w:val="007365FE"/>
    <w:rsid w:val="00741F00"/>
    <w:rsid w:val="00742A3D"/>
    <w:rsid w:val="00746F98"/>
    <w:rsid w:val="0075051B"/>
    <w:rsid w:val="007532B7"/>
    <w:rsid w:val="00753C4F"/>
    <w:rsid w:val="00764ACA"/>
    <w:rsid w:val="00765E7A"/>
    <w:rsid w:val="00771D25"/>
    <w:rsid w:val="00782E73"/>
    <w:rsid w:val="007830B5"/>
    <w:rsid w:val="00783EEE"/>
    <w:rsid w:val="00783F6E"/>
    <w:rsid w:val="00791D89"/>
    <w:rsid w:val="0079794C"/>
    <w:rsid w:val="00797EA2"/>
    <w:rsid w:val="007A7B35"/>
    <w:rsid w:val="007B1EE8"/>
    <w:rsid w:val="007B34FC"/>
    <w:rsid w:val="007B4BC0"/>
    <w:rsid w:val="007C02C8"/>
    <w:rsid w:val="007C5BA0"/>
    <w:rsid w:val="007C6476"/>
    <w:rsid w:val="007D023D"/>
    <w:rsid w:val="007D47E9"/>
    <w:rsid w:val="007E35CF"/>
    <w:rsid w:val="007E39AC"/>
    <w:rsid w:val="007E47B4"/>
    <w:rsid w:val="007E6AEE"/>
    <w:rsid w:val="007E6EF5"/>
    <w:rsid w:val="007F2B21"/>
    <w:rsid w:val="007F62F8"/>
    <w:rsid w:val="007F7315"/>
    <w:rsid w:val="0080138A"/>
    <w:rsid w:val="00801A82"/>
    <w:rsid w:val="00801B1D"/>
    <w:rsid w:val="00802471"/>
    <w:rsid w:val="00802A76"/>
    <w:rsid w:val="00805DD2"/>
    <w:rsid w:val="0080778F"/>
    <w:rsid w:val="00807922"/>
    <w:rsid w:val="00807B65"/>
    <w:rsid w:val="00807DF1"/>
    <w:rsid w:val="00812105"/>
    <w:rsid w:val="008166F3"/>
    <w:rsid w:val="00821B01"/>
    <w:rsid w:val="00825602"/>
    <w:rsid w:val="0083142F"/>
    <w:rsid w:val="00832360"/>
    <w:rsid w:val="00832754"/>
    <w:rsid w:val="008349E5"/>
    <w:rsid w:val="00841B8D"/>
    <w:rsid w:val="008430D1"/>
    <w:rsid w:val="00843751"/>
    <w:rsid w:val="008447E0"/>
    <w:rsid w:val="008464A6"/>
    <w:rsid w:val="00851F5A"/>
    <w:rsid w:val="008617F6"/>
    <w:rsid w:val="008673BF"/>
    <w:rsid w:val="00872D41"/>
    <w:rsid w:val="008732F3"/>
    <w:rsid w:val="00875A36"/>
    <w:rsid w:val="00877155"/>
    <w:rsid w:val="00877BB8"/>
    <w:rsid w:val="008832A4"/>
    <w:rsid w:val="00890A01"/>
    <w:rsid w:val="0089303F"/>
    <w:rsid w:val="0089357A"/>
    <w:rsid w:val="0089521A"/>
    <w:rsid w:val="00897B20"/>
    <w:rsid w:val="008A2207"/>
    <w:rsid w:val="008A32E7"/>
    <w:rsid w:val="008B0937"/>
    <w:rsid w:val="008B36FD"/>
    <w:rsid w:val="008B61A2"/>
    <w:rsid w:val="008B622B"/>
    <w:rsid w:val="008B6A45"/>
    <w:rsid w:val="008C112E"/>
    <w:rsid w:val="008C1C54"/>
    <w:rsid w:val="008C33A5"/>
    <w:rsid w:val="008C5DA8"/>
    <w:rsid w:val="008C7FA4"/>
    <w:rsid w:val="008D1997"/>
    <w:rsid w:val="008D2016"/>
    <w:rsid w:val="008D2311"/>
    <w:rsid w:val="008D29A6"/>
    <w:rsid w:val="008D62DC"/>
    <w:rsid w:val="008D6529"/>
    <w:rsid w:val="008E2190"/>
    <w:rsid w:val="008E434F"/>
    <w:rsid w:val="008E4A01"/>
    <w:rsid w:val="008E4C04"/>
    <w:rsid w:val="008E7783"/>
    <w:rsid w:val="008E7D42"/>
    <w:rsid w:val="008F2402"/>
    <w:rsid w:val="008F55F7"/>
    <w:rsid w:val="00900414"/>
    <w:rsid w:val="009023BD"/>
    <w:rsid w:val="009040D5"/>
    <w:rsid w:val="0090449F"/>
    <w:rsid w:val="0091294E"/>
    <w:rsid w:val="00915C04"/>
    <w:rsid w:val="00921072"/>
    <w:rsid w:val="009213A4"/>
    <w:rsid w:val="009260FE"/>
    <w:rsid w:val="009348A1"/>
    <w:rsid w:val="00937741"/>
    <w:rsid w:val="0094033F"/>
    <w:rsid w:val="00941B3B"/>
    <w:rsid w:val="00944DD2"/>
    <w:rsid w:val="00945F49"/>
    <w:rsid w:val="00950247"/>
    <w:rsid w:val="0095067C"/>
    <w:rsid w:val="00951C0F"/>
    <w:rsid w:val="00952D6E"/>
    <w:rsid w:val="009539F9"/>
    <w:rsid w:val="00953D2B"/>
    <w:rsid w:val="00954144"/>
    <w:rsid w:val="0095467B"/>
    <w:rsid w:val="00955530"/>
    <w:rsid w:val="00955E69"/>
    <w:rsid w:val="00956208"/>
    <w:rsid w:val="00956915"/>
    <w:rsid w:val="00956AA8"/>
    <w:rsid w:val="009575E6"/>
    <w:rsid w:val="00957C8C"/>
    <w:rsid w:val="009635B4"/>
    <w:rsid w:val="009663C1"/>
    <w:rsid w:val="00966B15"/>
    <w:rsid w:val="009708CB"/>
    <w:rsid w:val="00970B93"/>
    <w:rsid w:val="00971216"/>
    <w:rsid w:val="00972D08"/>
    <w:rsid w:val="00972E5B"/>
    <w:rsid w:val="00973EDA"/>
    <w:rsid w:val="00974798"/>
    <w:rsid w:val="0097580C"/>
    <w:rsid w:val="00977C2F"/>
    <w:rsid w:val="00977F2A"/>
    <w:rsid w:val="00980030"/>
    <w:rsid w:val="00980367"/>
    <w:rsid w:val="00980A35"/>
    <w:rsid w:val="00985040"/>
    <w:rsid w:val="00986763"/>
    <w:rsid w:val="0098783C"/>
    <w:rsid w:val="009904EE"/>
    <w:rsid w:val="00991F56"/>
    <w:rsid w:val="00993C93"/>
    <w:rsid w:val="009969A0"/>
    <w:rsid w:val="009973F1"/>
    <w:rsid w:val="009A26DD"/>
    <w:rsid w:val="009A2B7B"/>
    <w:rsid w:val="009A2D75"/>
    <w:rsid w:val="009A3653"/>
    <w:rsid w:val="009A3719"/>
    <w:rsid w:val="009A7AE5"/>
    <w:rsid w:val="009B5774"/>
    <w:rsid w:val="009B5FCE"/>
    <w:rsid w:val="009C31E9"/>
    <w:rsid w:val="009C36EF"/>
    <w:rsid w:val="009C5F76"/>
    <w:rsid w:val="009C7594"/>
    <w:rsid w:val="009D016F"/>
    <w:rsid w:val="009D47F1"/>
    <w:rsid w:val="009E17E3"/>
    <w:rsid w:val="009E1A92"/>
    <w:rsid w:val="009E68E6"/>
    <w:rsid w:val="009F21C4"/>
    <w:rsid w:val="009F2B52"/>
    <w:rsid w:val="009F5F98"/>
    <w:rsid w:val="009F6A39"/>
    <w:rsid w:val="00A00698"/>
    <w:rsid w:val="00A00B2F"/>
    <w:rsid w:val="00A03402"/>
    <w:rsid w:val="00A06B25"/>
    <w:rsid w:val="00A07865"/>
    <w:rsid w:val="00A12EAA"/>
    <w:rsid w:val="00A17033"/>
    <w:rsid w:val="00A2186C"/>
    <w:rsid w:val="00A2576B"/>
    <w:rsid w:val="00A27AA7"/>
    <w:rsid w:val="00A27F7D"/>
    <w:rsid w:val="00A329B4"/>
    <w:rsid w:val="00A33F55"/>
    <w:rsid w:val="00A34AD9"/>
    <w:rsid w:val="00A34EC7"/>
    <w:rsid w:val="00A37474"/>
    <w:rsid w:val="00A40B46"/>
    <w:rsid w:val="00A41777"/>
    <w:rsid w:val="00A423F3"/>
    <w:rsid w:val="00A43FED"/>
    <w:rsid w:val="00A452A8"/>
    <w:rsid w:val="00A47B6D"/>
    <w:rsid w:val="00A47D45"/>
    <w:rsid w:val="00A5038C"/>
    <w:rsid w:val="00A504DF"/>
    <w:rsid w:val="00A50753"/>
    <w:rsid w:val="00A50AEE"/>
    <w:rsid w:val="00A538C8"/>
    <w:rsid w:val="00A545C1"/>
    <w:rsid w:val="00A54FA3"/>
    <w:rsid w:val="00A54FC7"/>
    <w:rsid w:val="00A56510"/>
    <w:rsid w:val="00A56A37"/>
    <w:rsid w:val="00A571DF"/>
    <w:rsid w:val="00A60BEF"/>
    <w:rsid w:val="00A62CEF"/>
    <w:rsid w:val="00A62CF9"/>
    <w:rsid w:val="00A63027"/>
    <w:rsid w:val="00A67C30"/>
    <w:rsid w:val="00A7032A"/>
    <w:rsid w:val="00A72844"/>
    <w:rsid w:val="00A73161"/>
    <w:rsid w:val="00A75146"/>
    <w:rsid w:val="00A844FE"/>
    <w:rsid w:val="00A846CE"/>
    <w:rsid w:val="00A8485F"/>
    <w:rsid w:val="00A848D4"/>
    <w:rsid w:val="00A862F3"/>
    <w:rsid w:val="00A92612"/>
    <w:rsid w:val="00A94D41"/>
    <w:rsid w:val="00A96BD5"/>
    <w:rsid w:val="00A97A7B"/>
    <w:rsid w:val="00AA0D8A"/>
    <w:rsid w:val="00AA6584"/>
    <w:rsid w:val="00AA6711"/>
    <w:rsid w:val="00AA7C80"/>
    <w:rsid w:val="00AA7DB5"/>
    <w:rsid w:val="00AB3F7B"/>
    <w:rsid w:val="00AB77D0"/>
    <w:rsid w:val="00AC1514"/>
    <w:rsid w:val="00AC20E5"/>
    <w:rsid w:val="00AC2233"/>
    <w:rsid w:val="00AC26ED"/>
    <w:rsid w:val="00AC43FB"/>
    <w:rsid w:val="00AC4474"/>
    <w:rsid w:val="00AC53E1"/>
    <w:rsid w:val="00AC6437"/>
    <w:rsid w:val="00AE0441"/>
    <w:rsid w:val="00AE11A7"/>
    <w:rsid w:val="00AE2995"/>
    <w:rsid w:val="00AE2C82"/>
    <w:rsid w:val="00AE2E46"/>
    <w:rsid w:val="00AE3008"/>
    <w:rsid w:val="00AE3110"/>
    <w:rsid w:val="00AE4039"/>
    <w:rsid w:val="00AE7617"/>
    <w:rsid w:val="00AF630B"/>
    <w:rsid w:val="00AF7860"/>
    <w:rsid w:val="00B01160"/>
    <w:rsid w:val="00B01AEC"/>
    <w:rsid w:val="00B03705"/>
    <w:rsid w:val="00B07A8A"/>
    <w:rsid w:val="00B14951"/>
    <w:rsid w:val="00B16779"/>
    <w:rsid w:val="00B17255"/>
    <w:rsid w:val="00B23856"/>
    <w:rsid w:val="00B2658A"/>
    <w:rsid w:val="00B2704A"/>
    <w:rsid w:val="00B27175"/>
    <w:rsid w:val="00B30B05"/>
    <w:rsid w:val="00B31401"/>
    <w:rsid w:val="00B31B29"/>
    <w:rsid w:val="00B32B4E"/>
    <w:rsid w:val="00B32C5E"/>
    <w:rsid w:val="00B3317C"/>
    <w:rsid w:val="00B33C09"/>
    <w:rsid w:val="00B35560"/>
    <w:rsid w:val="00B35F93"/>
    <w:rsid w:val="00B3649B"/>
    <w:rsid w:val="00B36F4D"/>
    <w:rsid w:val="00B41E57"/>
    <w:rsid w:val="00B43FD6"/>
    <w:rsid w:val="00B47AB9"/>
    <w:rsid w:val="00B5041E"/>
    <w:rsid w:val="00B50E6B"/>
    <w:rsid w:val="00B53121"/>
    <w:rsid w:val="00B54531"/>
    <w:rsid w:val="00B54A79"/>
    <w:rsid w:val="00B60754"/>
    <w:rsid w:val="00B6357C"/>
    <w:rsid w:val="00B63795"/>
    <w:rsid w:val="00B70673"/>
    <w:rsid w:val="00B731F7"/>
    <w:rsid w:val="00B75A69"/>
    <w:rsid w:val="00B77467"/>
    <w:rsid w:val="00B77727"/>
    <w:rsid w:val="00B80E5E"/>
    <w:rsid w:val="00B82BF4"/>
    <w:rsid w:val="00B82CC8"/>
    <w:rsid w:val="00B834BB"/>
    <w:rsid w:val="00B83ADA"/>
    <w:rsid w:val="00B86052"/>
    <w:rsid w:val="00B861FC"/>
    <w:rsid w:val="00B91F76"/>
    <w:rsid w:val="00B93184"/>
    <w:rsid w:val="00B94365"/>
    <w:rsid w:val="00B94BB8"/>
    <w:rsid w:val="00BA0451"/>
    <w:rsid w:val="00BA1747"/>
    <w:rsid w:val="00BA3EE9"/>
    <w:rsid w:val="00BA75AF"/>
    <w:rsid w:val="00BA7CC2"/>
    <w:rsid w:val="00BB11FD"/>
    <w:rsid w:val="00BB2303"/>
    <w:rsid w:val="00BB3D4E"/>
    <w:rsid w:val="00BB428B"/>
    <w:rsid w:val="00BB47C7"/>
    <w:rsid w:val="00BB605E"/>
    <w:rsid w:val="00BC00D3"/>
    <w:rsid w:val="00BC06A3"/>
    <w:rsid w:val="00BC12C7"/>
    <w:rsid w:val="00BC225E"/>
    <w:rsid w:val="00BC25BA"/>
    <w:rsid w:val="00BC3CFF"/>
    <w:rsid w:val="00BC5E51"/>
    <w:rsid w:val="00BD15D8"/>
    <w:rsid w:val="00BD2414"/>
    <w:rsid w:val="00BD437F"/>
    <w:rsid w:val="00BD6534"/>
    <w:rsid w:val="00BD6FBA"/>
    <w:rsid w:val="00BE3027"/>
    <w:rsid w:val="00BF2F4E"/>
    <w:rsid w:val="00BF4E6C"/>
    <w:rsid w:val="00BF781E"/>
    <w:rsid w:val="00C029DE"/>
    <w:rsid w:val="00C035FF"/>
    <w:rsid w:val="00C04CF3"/>
    <w:rsid w:val="00C07C97"/>
    <w:rsid w:val="00C10F67"/>
    <w:rsid w:val="00C1100F"/>
    <w:rsid w:val="00C11EBD"/>
    <w:rsid w:val="00C136DB"/>
    <w:rsid w:val="00C14A55"/>
    <w:rsid w:val="00C178D8"/>
    <w:rsid w:val="00C1790B"/>
    <w:rsid w:val="00C23434"/>
    <w:rsid w:val="00C25F63"/>
    <w:rsid w:val="00C27342"/>
    <w:rsid w:val="00C3080D"/>
    <w:rsid w:val="00C32666"/>
    <w:rsid w:val="00C343DC"/>
    <w:rsid w:val="00C37AA9"/>
    <w:rsid w:val="00C404F3"/>
    <w:rsid w:val="00C41824"/>
    <w:rsid w:val="00C44DDC"/>
    <w:rsid w:val="00C4500C"/>
    <w:rsid w:val="00C459A4"/>
    <w:rsid w:val="00C47F22"/>
    <w:rsid w:val="00C51624"/>
    <w:rsid w:val="00C52C87"/>
    <w:rsid w:val="00C5594C"/>
    <w:rsid w:val="00C57921"/>
    <w:rsid w:val="00C614EF"/>
    <w:rsid w:val="00C629B2"/>
    <w:rsid w:val="00C636B4"/>
    <w:rsid w:val="00C66707"/>
    <w:rsid w:val="00C67C14"/>
    <w:rsid w:val="00C70802"/>
    <w:rsid w:val="00C72A23"/>
    <w:rsid w:val="00C73564"/>
    <w:rsid w:val="00C73574"/>
    <w:rsid w:val="00C74705"/>
    <w:rsid w:val="00C8009B"/>
    <w:rsid w:val="00C806A4"/>
    <w:rsid w:val="00C80DEC"/>
    <w:rsid w:val="00C876AC"/>
    <w:rsid w:val="00C91C79"/>
    <w:rsid w:val="00C94FAD"/>
    <w:rsid w:val="00C9520B"/>
    <w:rsid w:val="00CA184A"/>
    <w:rsid w:val="00CA5C1E"/>
    <w:rsid w:val="00CA6F51"/>
    <w:rsid w:val="00CA7FDD"/>
    <w:rsid w:val="00CB2603"/>
    <w:rsid w:val="00CB279A"/>
    <w:rsid w:val="00CB5A38"/>
    <w:rsid w:val="00CC00B1"/>
    <w:rsid w:val="00CC4EA5"/>
    <w:rsid w:val="00CC659E"/>
    <w:rsid w:val="00CD24F9"/>
    <w:rsid w:val="00CE2FA8"/>
    <w:rsid w:val="00CE3E0D"/>
    <w:rsid w:val="00CF0CC2"/>
    <w:rsid w:val="00CF34C5"/>
    <w:rsid w:val="00CF4536"/>
    <w:rsid w:val="00CF455E"/>
    <w:rsid w:val="00CF66E1"/>
    <w:rsid w:val="00CF7B2E"/>
    <w:rsid w:val="00D01CD9"/>
    <w:rsid w:val="00D027BE"/>
    <w:rsid w:val="00D037ED"/>
    <w:rsid w:val="00D03ACC"/>
    <w:rsid w:val="00D04E4A"/>
    <w:rsid w:val="00D10ED2"/>
    <w:rsid w:val="00D12250"/>
    <w:rsid w:val="00D13E5B"/>
    <w:rsid w:val="00D14BF9"/>
    <w:rsid w:val="00D1696A"/>
    <w:rsid w:val="00D22761"/>
    <w:rsid w:val="00D239DD"/>
    <w:rsid w:val="00D25BBB"/>
    <w:rsid w:val="00D27ED6"/>
    <w:rsid w:val="00D34986"/>
    <w:rsid w:val="00D45C2C"/>
    <w:rsid w:val="00D47797"/>
    <w:rsid w:val="00D47BE5"/>
    <w:rsid w:val="00D50921"/>
    <w:rsid w:val="00D55254"/>
    <w:rsid w:val="00D64F32"/>
    <w:rsid w:val="00D67807"/>
    <w:rsid w:val="00D70107"/>
    <w:rsid w:val="00D71258"/>
    <w:rsid w:val="00D77FC2"/>
    <w:rsid w:val="00D77FDA"/>
    <w:rsid w:val="00D84481"/>
    <w:rsid w:val="00D94B8F"/>
    <w:rsid w:val="00D94EC1"/>
    <w:rsid w:val="00D9635D"/>
    <w:rsid w:val="00DA2026"/>
    <w:rsid w:val="00DA373F"/>
    <w:rsid w:val="00DA4601"/>
    <w:rsid w:val="00DA4A65"/>
    <w:rsid w:val="00DA706D"/>
    <w:rsid w:val="00DB15AF"/>
    <w:rsid w:val="00DB21D9"/>
    <w:rsid w:val="00DB6A43"/>
    <w:rsid w:val="00DB7DFE"/>
    <w:rsid w:val="00DC1C0F"/>
    <w:rsid w:val="00DC2B72"/>
    <w:rsid w:val="00DC306A"/>
    <w:rsid w:val="00DC4D7B"/>
    <w:rsid w:val="00DC588A"/>
    <w:rsid w:val="00DC5BFA"/>
    <w:rsid w:val="00DC7BED"/>
    <w:rsid w:val="00DD2D59"/>
    <w:rsid w:val="00DD3EDD"/>
    <w:rsid w:val="00DD3F9B"/>
    <w:rsid w:val="00DD413D"/>
    <w:rsid w:val="00DD4CFC"/>
    <w:rsid w:val="00DD59DF"/>
    <w:rsid w:val="00DD7EFE"/>
    <w:rsid w:val="00DE019B"/>
    <w:rsid w:val="00DE101D"/>
    <w:rsid w:val="00DE23FB"/>
    <w:rsid w:val="00DE2C66"/>
    <w:rsid w:val="00DE37AE"/>
    <w:rsid w:val="00DE5DC0"/>
    <w:rsid w:val="00DE6935"/>
    <w:rsid w:val="00E02580"/>
    <w:rsid w:val="00E036A8"/>
    <w:rsid w:val="00E04802"/>
    <w:rsid w:val="00E0613A"/>
    <w:rsid w:val="00E10373"/>
    <w:rsid w:val="00E115ED"/>
    <w:rsid w:val="00E1355B"/>
    <w:rsid w:val="00E135DB"/>
    <w:rsid w:val="00E14F92"/>
    <w:rsid w:val="00E168C7"/>
    <w:rsid w:val="00E16F5E"/>
    <w:rsid w:val="00E17081"/>
    <w:rsid w:val="00E21987"/>
    <w:rsid w:val="00E257BB"/>
    <w:rsid w:val="00E26110"/>
    <w:rsid w:val="00E2681D"/>
    <w:rsid w:val="00E27495"/>
    <w:rsid w:val="00E30A44"/>
    <w:rsid w:val="00E33BA3"/>
    <w:rsid w:val="00E33D73"/>
    <w:rsid w:val="00E35D6B"/>
    <w:rsid w:val="00E35FAF"/>
    <w:rsid w:val="00E416A1"/>
    <w:rsid w:val="00E42CED"/>
    <w:rsid w:val="00E42DCB"/>
    <w:rsid w:val="00E431FC"/>
    <w:rsid w:val="00E43346"/>
    <w:rsid w:val="00E46103"/>
    <w:rsid w:val="00E5020D"/>
    <w:rsid w:val="00E51A73"/>
    <w:rsid w:val="00E51B2C"/>
    <w:rsid w:val="00E53D44"/>
    <w:rsid w:val="00E572FB"/>
    <w:rsid w:val="00E577D7"/>
    <w:rsid w:val="00E65934"/>
    <w:rsid w:val="00E65BEC"/>
    <w:rsid w:val="00E72345"/>
    <w:rsid w:val="00E763AE"/>
    <w:rsid w:val="00E9056C"/>
    <w:rsid w:val="00E9235F"/>
    <w:rsid w:val="00E953EC"/>
    <w:rsid w:val="00E96966"/>
    <w:rsid w:val="00E97D0B"/>
    <w:rsid w:val="00EA1781"/>
    <w:rsid w:val="00EA2A92"/>
    <w:rsid w:val="00EA2D0C"/>
    <w:rsid w:val="00EA3CA7"/>
    <w:rsid w:val="00EB080D"/>
    <w:rsid w:val="00EB0D08"/>
    <w:rsid w:val="00EB24F2"/>
    <w:rsid w:val="00EB5C03"/>
    <w:rsid w:val="00EC0F54"/>
    <w:rsid w:val="00EC20C6"/>
    <w:rsid w:val="00EC29F6"/>
    <w:rsid w:val="00EC3711"/>
    <w:rsid w:val="00EC698F"/>
    <w:rsid w:val="00EC7629"/>
    <w:rsid w:val="00EC7BF4"/>
    <w:rsid w:val="00ED0411"/>
    <w:rsid w:val="00ED24AD"/>
    <w:rsid w:val="00ED56FC"/>
    <w:rsid w:val="00ED7930"/>
    <w:rsid w:val="00EE0616"/>
    <w:rsid w:val="00EE125E"/>
    <w:rsid w:val="00EE74BD"/>
    <w:rsid w:val="00EF0F33"/>
    <w:rsid w:val="00EF633D"/>
    <w:rsid w:val="00F027E6"/>
    <w:rsid w:val="00F06C5A"/>
    <w:rsid w:val="00F07CEB"/>
    <w:rsid w:val="00F1147C"/>
    <w:rsid w:val="00F14016"/>
    <w:rsid w:val="00F1723D"/>
    <w:rsid w:val="00F1747D"/>
    <w:rsid w:val="00F2023D"/>
    <w:rsid w:val="00F21298"/>
    <w:rsid w:val="00F23064"/>
    <w:rsid w:val="00F25442"/>
    <w:rsid w:val="00F25BF5"/>
    <w:rsid w:val="00F360B6"/>
    <w:rsid w:val="00F36BFF"/>
    <w:rsid w:val="00F405E0"/>
    <w:rsid w:val="00F4117D"/>
    <w:rsid w:val="00F41452"/>
    <w:rsid w:val="00F41930"/>
    <w:rsid w:val="00F42163"/>
    <w:rsid w:val="00F430E5"/>
    <w:rsid w:val="00F45D02"/>
    <w:rsid w:val="00F5029D"/>
    <w:rsid w:val="00F52FE5"/>
    <w:rsid w:val="00F54B12"/>
    <w:rsid w:val="00F55395"/>
    <w:rsid w:val="00F5648A"/>
    <w:rsid w:val="00F57B42"/>
    <w:rsid w:val="00F605FD"/>
    <w:rsid w:val="00F658C3"/>
    <w:rsid w:val="00F65A1E"/>
    <w:rsid w:val="00F669D7"/>
    <w:rsid w:val="00F67615"/>
    <w:rsid w:val="00F67DE7"/>
    <w:rsid w:val="00F70A6D"/>
    <w:rsid w:val="00F74D79"/>
    <w:rsid w:val="00F84A85"/>
    <w:rsid w:val="00F85905"/>
    <w:rsid w:val="00F85A7E"/>
    <w:rsid w:val="00F86166"/>
    <w:rsid w:val="00F90C8F"/>
    <w:rsid w:val="00F911D1"/>
    <w:rsid w:val="00F91702"/>
    <w:rsid w:val="00F94E07"/>
    <w:rsid w:val="00FA1B23"/>
    <w:rsid w:val="00FA2942"/>
    <w:rsid w:val="00FA52A9"/>
    <w:rsid w:val="00FA6989"/>
    <w:rsid w:val="00FA76EA"/>
    <w:rsid w:val="00FB2D78"/>
    <w:rsid w:val="00FB367E"/>
    <w:rsid w:val="00FB3779"/>
    <w:rsid w:val="00FB437A"/>
    <w:rsid w:val="00FB51C3"/>
    <w:rsid w:val="00FB627B"/>
    <w:rsid w:val="00FB73A3"/>
    <w:rsid w:val="00FC1034"/>
    <w:rsid w:val="00FC2E63"/>
    <w:rsid w:val="00FC6EB4"/>
    <w:rsid w:val="00FD0C37"/>
    <w:rsid w:val="00FD1D62"/>
    <w:rsid w:val="00FD39B2"/>
    <w:rsid w:val="00FE0D67"/>
    <w:rsid w:val="00FE3BF3"/>
    <w:rsid w:val="00FE4F5C"/>
    <w:rsid w:val="00FE5370"/>
    <w:rsid w:val="00FE59E3"/>
    <w:rsid w:val="00FE6D92"/>
    <w:rsid w:val="00FF0758"/>
    <w:rsid w:val="00FF15DD"/>
    <w:rsid w:val="00FF614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61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31"/>
    <w:pPr>
      <w:ind w:left="720"/>
      <w:contextualSpacing/>
    </w:pPr>
  </w:style>
  <w:style w:type="table" w:styleId="a4">
    <w:name w:val="Table Grid"/>
    <w:basedOn w:val="a1"/>
    <w:uiPriority w:val="59"/>
    <w:rsid w:val="00C23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56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B56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B56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B56B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2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572FB"/>
    <w:rPr>
      <w:rFonts w:ascii="Tahoma" w:hAnsi="Tahoma" w:cs="Tahoma"/>
      <w:sz w:val="16"/>
      <w:szCs w:val="16"/>
      <w:lang w:eastAsia="en-US"/>
    </w:rPr>
  </w:style>
  <w:style w:type="paragraph" w:customStyle="1" w:styleId="ab">
    <w:name w:val="Базовый"/>
    <w:uiPriority w:val="99"/>
    <w:rsid w:val="00654A94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rsid w:val="00A00B2F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E2C66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qFormat/>
    <w:rsid w:val="00F86166"/>
    <w:pPr>
      <w:spacing w:after="0"/>
      <w:ind w:left="220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F861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F86166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F86166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F86166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F86166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86166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86166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86166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86166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86166"/>
    <w:pPr>
      <w:spacing w:after="0"/>
      <w:ind w:left="1540"/>
    </w:pPr>
    <w:rPr>
      <w:sz w:val="20"/>
      <w:szCs w:val="20"/>
    </w:rPr>
  </w:style>
  <w:style w:type="paragraph" w:customStyle="1" w:styleId="ConsPlusNormal">
    <w:name w:val="ConsPlusNormal"/>
    <w:rsid w:val="0095620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61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31"/>
    <w:pPr>
      <w:ind w:left="720"/>
      <w:contextualSpacing/>
    </w:pPr>
  </w:style>
  <w:style w:type="table" w:styleId="a4">
    <w:name w:val="Table Grid"/>
    <w:basedOn w:val="a1"/>
    <w:uiPriority w:val="59"/>
    <w:rsid w:val="00C23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56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B56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B56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B56B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2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572FB"/>
    <w:rPr>
      <w:rFonts w:ascii="Tahoma" w:hAnsi="Tahoma" w:cs="Tahoma"/>
      <w:sz w:val="16"/>
      <w:szCs w:val="16"/>
      <w:lang w:eastAsia="en-US"/>
    </w:rPr>
  </w:style>
  <w:style w:type="paragraph" w:customStyle="1" w:styleId="ab">
    <w:name w:val="Базовый"/>
    <w:uiPriority w:val="99"/>
    <w:rsid w:val="00654A94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rsid w:val="00A00B2F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E2C66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qFormat/>
    <w:rsid w:val="00F86166"/>
    <w:pPr>
      <w:spacing w:after="0"/>
      <w:ind w:left="220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F861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F86166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F86166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F86166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F86166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86166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86166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86166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86166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86166"/>
    <w:pPr>
      <w:spacing w:after="0"/>
      <w:ind w:left="1540"/>
    </w:pPr>
    <w:rPr>
      <w:sz w:val="20"/>
      <w:szCs w:val="20"/>
    </w:rPr>
  </w:style>
  <w:style w:type="paragraph" w:customStyle="1" w:styleId="ConsPlusNormal">
    <w:name w:val="ConsPlusNormal"/>
    <w:rsid w:val="0095620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664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9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bancaintesa.ru/ru/branch/office24.html" TargetMode="External"/><Relationship Id="rId26" Type="http://schemas.openxmlformats.org/officeDocument/2006/relationships/hyperlink" Target="http://www.otkritiefc.ru/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://www.roscap.ru/" TargetMode="External"/><Relationship Id="rId42" Type="http://schemas.openxmlformats.org/officeDocument/2006/relationships/hyperlink" Target="https://pskb.com/corporate/small-business-crediting/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s://www.tkbbank.ru/" TargetMode="External"/><Relationship Id="rId55" Type="http://schemas.openxmlformats.org/officeDocument/2006/relationships/hyperlink" Target="http://www.itb.ru/" TargetMode="External"/><Relationship Id="rId63" Type="http://schemas.openxmlformats.org/officeDocument/2006/relationships/chart" Target="charts/chart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vtb24.ru/_layouts/Vtb24.Pages/PointSearch.aspx?mode=office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mspbank.ru/" TargetMode="External"/><Relationship Id="rId32" Type="http://schemas.openxmlformats.org/officeDocument/2006/relationships/hyperlink" Target="http://www.rshb.ru/branches/khabarovsk/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www.ussurybank.ru/korporativnym-klientam/kreditovanie-biznesa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hyperlink" Target="http://www.ulk.ru/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royal-bank.ru/ru/office/khabarovsk/" TargetMode="External"/><Relationship Id="rId36" Type="http://schemas.openxmlformats.org/officeDocument/2006/relationships/hyperlink" Target="http://www.psbank.ru/Business" TargetMode="External"/><Relationship Id="rId49" Type="http://schemas.openxmlformats.org/officeDocument/2006/relationships/image" Target="media/image21.jpeg"/><Relationship Id="rId57" Type="http://schemas.openxmlformats.org/officeDocument/2006/relationships/hyperlink" Target="https://alfa-banks.ru/citi-khabarovsk/" TargetMode="External"/><Relationship Id="rId61" Type="http://schemas.openxmlformats.org/officeDocument/2006/relationships/chart" Target="charts/chart2.xml"/><Relationship Id="rId10" Type="http://schemas.openxmlformats.org/officeDocument/2006/relationships/hyperlink" Target="http://www.kbumb.ru/s-m-business/credit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://www.atb.su/" TargetMode="External"/><Relationship Id="rId52" Type="http://schemas.openxmlformats.org/officeDocument/2006/relationships/hyperlink" Target="https://pskb.com/corporate/documentary/guaranties/" TargetMode="External"/><Relationship Id="rId60" Type="http://schemas.openxmlformats.org/officeDocument/2006/relationships/chart" Target="charts/chart1.xm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vbank.ru/addresses/khabarovsk/" TargetMode="External"/><Relationship Id="rId22" Type="http://schemas.openxmlformats.org/officeDocument/2006/relationships/hyperlink" Target="http://www.fond27.ru/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solid-bank.ru/razdel/razdel_1877.aspx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s://alfabank.ru/" TargetMode="External"/><Relationship Id="rId56" Type="http://schemas.openxmlformats.org/officeDocument/2006/relationships/hyperlink" Target="http://www.garantfond27.ru/images/%D0%B1%D0%B0%D0%BD%D0%BA%D0%B8-%D0%BF%D0%B0%D1%80%D1%82%D0%BD%D0%B5%D1%80%D1%8B/msp-bank.jpg" TargetMode="External"/><Relationship Id="rId64" Type="http://schemas.openxmlformats.org/officeDocument/2006/relationships/chart" Target="charts/chart5.xml"/><Relationship Id="rId8" Type="http://schemas.openxmlformats.org/officeDocument/2006/relationships/endnotes" Target="endnotes.xml"/><Relationship Id="rId51" Type="http://schemas.openxmlformats.org/officeDocument/2006/relationships/image" Target="media/image22.jpeg"/><Relationship Id="rId3" Type="http://schemas.openxmlformats.org/officeDocument/2006/relationships/styles" Target="styles.xml"/><Relationship Id="rId12" Type="http://schemas.openxmlformats.org/officeDocument/2006/relationships/hyperlink" Target="http://www.albank.ru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www.sberbank.ru/khabarovsk/ru/person/" TargetMode="External"/><Relationship Id="rId46" Type="http://schemas.openxmlformats.org/officeDocument/2006/relationships/hyperlink" Target="http://www.frmrus.ru/" TargetMode="External"/><Relationship Id="rId59" Type="http://schemas.openxmlformats.org/officeDocument/2006/relationships/image" Target="media/image24.jpeg"/><Relationship Id="rId67" Type="http://schemas.openxmlformats.org/officeDocument/2006/relationships/theme" Target="theme/theme1.xml"/><Relationship Id="rId20" Type="http://schemas.openxmlformats.org/officeDocument/2006/relationships/hyperlink" Target="http://www.mtsbank.ru/about/branches/khabarovsk-region/habarovsk/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://www.openbank.ru/" TargetMode="External"/><Relationship Id="rId6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003277700335306E-2"/>
          <c:y val="4.1052132050447755E-2"/>
          <c:w val="0.69560955598253571"/>
          <c:h val="0.88214952387171441"/>
        </c:manualLayout>
      </c:layout>
      <c:pie3DChart>
        <c:varyColors val="1"/>
        <c:ser>
          <c:idx val="2"/>
          <c:order val="2"/>
          <c:explosion val="25"/>
          <c:dLbls>
            <c:dLbl>
              <c:idx val="2"/>
              <c:layout>
                <c:manualLayout>
                  <c:x val="-9.5238095238095233E-2"/>
                  <c:y val="0.138337012509197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'Рис1.'!$A$9:$A$14</c:f>
              <c:strCache>
                <c:ptCount val="6"/>
                <c:pt idx="0">
                  <c:v>От 1 до 3 млн.</c:v>
                </c:pt>
                <c:pt idx="1">
                  <c:v>От 3 до 5 млн.</c:v>
                </c:pt>
                <c:pt idx="2">
                  <c:v>От 5 до 10 млн.</c:v>
                </c:pt>
                <c:pt idx="3">
                  <c:v>От 10 до 15 млн.</c:v>
                </c:pt>
                <c:pt idx="4">
                  <c:v>От 15 до 20 млн.</c:v>
                </c:pt>
                <c:pt idx="5">
                  <c:v>Свыше 20 млн.</c:v>
                </c:pt>
              </c:strCache>
            </c:strRef>
          </c:cat>
          <c:val>
            <c:numRef>
              <c:f>'Рис1.'!$D$9:$D$14</c:f>
              <c:numCache>
                <c:formatCode>0.0%</c:formatCode>
                <c:ptCount val="6"/>
                <c:pt idx="0">
                  <c:v>3.4099999999999998E-2</c:v>
                </c:pt>
                <c:pt idx="1">
                  <c:v>9.9599999999999994E-2</c:v>
                </c:pt>
                <c:pt idx="2">
                  <c:v>0.1825</c:v>
                </c:pt>
                <c:pt idx="3">
                  <c:v>0.1545</c:v>
                </c:pt>
                <c:pt idx="4">
                  <c:v>0.1421</c:v>
                </c:pt>
                <c:pt idx="5">
                  <c:v>0.3871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'Рис1.'!$A$9:$A$14</c:f>
              <c:strCache>
                <c:ptCount val="6"/>
                <c:pt idx="0">
                  <c:v>От 1 до 3 млн.</c:v>
                </c:pt>
                <c:pt idx="1">
                  <c:v>От 3 до 5 млн.</c:v>
                </c:pt>
                <c:pt idx="2">
                  <c:v>От 5 до 10 млн.</c:v>
                </c:pt>
                <c:pt idx="3">
                  <c:v>От 10 до 15 млн.</c:v>
                </c:pt>
                <c:pt idx="4">
                  <c:v>От 15 до 20 млн.</c:v>
                </c:pt>
                <c:pt idx="5">
                  <c:v>Свыше 20 млн.</c:v>
                </c:pt>
              </c:strCache>
            </c:strRef>
          </c:cat>
          <c:val>
            <c:numRef>
              <c:f>'Рис1.'!$C$9:$C$14</c:f>
            </c:numRef>
          </c:val>
        </c:ser>
        <c:ser>
          <c:idx val="0"/>
          <c:order val="0"/>
          <c:explosion val="25"/>
          <c:cat>
            <c:strRef>
              <c:f>'Рис1.'!$A$9:$A$14</c:f>
              <c:strCache>
                <c:ptCount val="6"/>
                <c:pt idx="0">
                  <c:v>От 1 до 3 млн.</c:v>
                </c:pt>
                <c:pt idx="1">
                  <c:v>От 3 до 5 млн.</c:v>
                </c:pt>
                <c:pt idx="2">
                  <c:v>От 5 до 10 млн.</c:v>
                </c:pt>
                <c:pt idx="3">
                  <c:v>От 10 до 15 млн.</c:v>
                </c:pt>
                <c:pt idx="4">
                  <c:v>От 15 до 20 млн.</c:v>
                </c:pt>
                <c:pt idx="5">
                  <c:v>Свыше 20 млн.</c:v>
                </c:pt>
              </c:strCache>
            </c:strRef>
          </c:cat>
          <c:val>
            <c:numRef>
              <c:f>'Рис1.'!$B$9:$B$14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993460119810607"/>
          <c:y val="0.20601983553672787"/>
          <c:w val="0.22153864025495851"/>
          <c:h val="0.3383149953937876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87332332121586"/>
          <c:y val="9.8267388233585912E-2"/>
          <c:w val="0.50837434090792122"/>
          <c:h val="0.85006843703823776"/>
        </c:manualLayout>
      </c:layout>
      <c:pie3DChart>
        <c:varyColors val="1"/>
        <c:ser>
          <c:idx val="2"/>
          <c:order val="2"/>
          <c:explosion val="25"/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Рис.2!$B$4:$B$7</c:f>
              <c:strCache>
                <c:ptCount val="4"/>
                <c:pt idx="0">
                  <c:v>От 1 до 2 лет</c:v>
                </c:pt>
                <c:pt idx="1">
                  <c:v>От 2 до 3 лет</c:v>
                </c:pt>
                <c:pt idx="2">
                  <c:v>От 3 до 5 лет</c:v>
                </c:pt>
                <c:pt idx="3">
                  <c:v>От 5 лет и выше</c:v>
                </c:pt>
              </c:strCache>
            </c:strRef>
          </c:cat>
          <c:val>
            <c:numRef>
              <c:f>Рис.2!$E$4:$E$7</c:f>
              <c:numCache>
                <c:formatCode>0.0%</c:formatCode>
                <c:ptCount val="4"/>
                <c:pt idx="0">
                  <c:v>0.1263</c:v>
                </c:pt>
                <c:pt idx="1">
                  <c:v>0.35680000000000001</c:v>
                </c:pt>
                <c:pt idx="2">
                  <c:v>0.15659999999999999</c:v>
                </c:pt>
                <c:pt idx="3">
                  <c:v>0.36030000000000001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Рис.2!$B$4:$B$7</c:f>
              <c:strCache>
                <c:ptCount val="4"/>
                <c:pt idx="0">
                  <c:v>От 1 до 2 лет</c:v>
                </c:pt>
                <c:pt idx="1">
                  <c:v>От 2 до 3 лет</c:v>
                </c:pt>
                <c:pt idx="2">
                  <c:v>От 3 до 5 лет</c:v>
                </c:pt>
                <c:pt idx="3">
                  <c:v>От 5 лет и выше</c:v>
                </c:pt>
              </c:strCache>
            </c:strRef>
          </c:cat>
          <c:val>
            <c:numRef>
              <c:f>Рис.2!$D$4:$D$7</c:f>
            </c:numRef>
          </c:val>
        </c:ser>
        <c:ser>
          <c:idx val="0"/>
          <c:order val="0"/>
          <c:explosion val="25"/>
          <c:cat>
            <c:strRef>
              <c:f>Рис.2!$B$4:$B$7</c:f>
              <c:strCache>
                <c:ptCount val="4"/>
                <c:pt idx="0">
                  <c:v>От 1 до 2 лет</c:v>
                </c:pt>
                <c:pt idx="1">
                  <c:v>От 2 до 3 лет</c:v>
                </c:pt>
                <c:pt idx="2">
                  <c:v>От 3 до 5 лет</c:v>
                </c:pt>
                <c:pt idx="3">
                  <c:v>От 5 лет и выше</c:v>
                </c:pt>
              </c:strCache>
            </c:strRef>
          </c:cat>
          <c:val>
            <c:numRef>
              <c:f>Рис.2!$C$4:$C$7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664720034995631"/>
          <c:y val="0.33279527559055117"/>
          <c:w val="0.25922887981248333"/>
          <c:h val="0.32192382241042322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7.9646142592831634E-2"/>
                  <c:y val="-0.318049996919631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035712749021126E-2"/>
                  <c:y val="9.192949178446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485435222236558E-2"/>
                  <c:y val="0.14058150569528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Таб.5!$A$20:$A$22</c:f>
              <c:strCache>
                <c:ptCount val="3"/>
                <c:pt idx="0">
                  <c:v>г.Хабаровск </c:v>
                </c:pt>
                <c:pt idx="1">
                  <c:v>г.Комсомольск на Амуре</c:v>
                </c:pt>
                <c:pt idx="2">
                  <c:v>Районы Хабаровского края </c:v>
                </c:pt>
              </c:strCache>
            </c:strRef>
          </c:cat>
          <c:val>
            <c:numRef>
              <c:f>Таб.5!$B$20:$B$22</c:f>
              <c:numCache>
                <c:formatCode>0.0%</c:formatCode>
                <c:ptCount val="3"/>
                <c:pt idx="0">
                  <c:v>0.83189999999999997</c:v>
                </c:pt>
                <c:pt idx="1">
                  <c:v>5.74E-2</c:v>
                </c:pt>
                <c:pt idx="2">
                  <c:v>0.11070000000000002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830686789151355"/>
          <c:y val="0.24647564887722373"/>
          <c:w val="0.38502646544181979"/>
          <c:h val="0.59489574219889185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7.1538433741765925E-2"/>
          <c:y val="0"/>
          <c:w val="0.91524154933839685"/>
          <c:h val="0.6641088290066049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в Microsoft Word]Рис.5'!$A$3:$A$21</c:f>
              <c:strCache>
                <c:ptCount val="19"/>
                <c:pt idx="0">
                  <c:v> "МТС-Банк"</c:v>
                </c:pt>
                <c:pt idx="1">
                  <c:v> Банк  "ФК "Открытие"</c:v>
                </c:pt>
                <c:pt idx="2">
                  <c:v>"Дальневосточный банк"</c:v>
                </c:pt>
                <c:pt idx="3">
                  <c:v> "БИНБАНК"</c:v>
                </c:pt>
                <c:pt idx="4">
                  <c:v> "Сбербанк "</c:v>
                </c:pt>
                <c:pt idx="5">
                  <c:v>Банк ВТБ 24 </c:v>
                </c:pt>
                <c:pt idx="6">
                  <c:v> "Банк Москвы"</c:v>
                </c:pt>
                <c:pt idx="7">
                  <c:v> "РоялКредитБанк"</c:v>
                </c:pt>
                <c:pt idx="8">
                  <c:v> "Россельхозбанк"</c:v>
                </c:pt>
                <c:pt idx="9">
                  <c:v> "Солид-Банк"</c:v>
                </c:pt>
                <c:pt idx="10">
                  <c:v> "Банк Интеза"</c:v>
                </c:pt>
                <c:pt idx="11">
                  <c:v> "Примсоцбанк"</c:v>
                </c:pt>
                <c:pt idx="12">
                  <c:v>"Азиатско-Тихоокеанский Банк"</c:v>
                </c:pt>
                <c:pt idx="13">
                  <c:v> "Промсвязьбанк"</c:v>
                </c:pt>
                <c:pt idx="14">
                  <c:v>"УМ Банк"</c:v>
                </c:pt>
                <c:pt idx="15">
                  <c:v>"Транскапиталбанк"</c:v>
                </c:pt>
                <c:pt idx="16">
                  <c:v>"МСП Банк"</c:v>
                </c:pt>
                <c:pt idx="17">
                  <c:v>"ФПМП ХК"</c:v>
                </c:pt>
                <c:pt idx="18">
                  <c:v>"РОССИЙСКИЙ КАПИТАЛ"</c:v>
                </c:pt>
              </c:strCache>
            </c:strRef>
          </c:cat>
          <c:val>
            <c:numRef>
              <c:f>'[Диаграмма в Microsoft Word]Рис.5'!$B$3:$B$21</c:f>
            </c:numRef>
          </c:val>
          <c:shape val="box"/>
        </c:ser>
        <c:ser>
          <c:idx val="1"/>
          <c:order val="1"/>
          <c:invertIfNegative val="0"/>
          <c:cat>
            <c:strRef>
              <c:f>'[Диаграмма в Microsoft Word]Рис.5'!$A$3:$A$21</c:f>
              <c:strCache>
                <c:ptCount val="19"/>
                <c:pt idx="0">
                  <c:v> "МТС-Банк"</c:v>
                </c:pt>
                <c:pt idx="1">
                  <c:v> Банк  "ФК "Открытие"</c:v>
                </c:pt>
                <c:pt idx="2">
                  <c:v>"Дальневосточный банк"</c:v>
                </c:pt>
                <c:pt idx="3">
                  <c:v> "БИНБАНК"</c:v>
                </c:pt>
                <c:pt idx="4">
                  <c:v> "Сбербанк "</c:v>
                </c:pt>
                <c:pt idx="5">
                  <c:v>Банк ВТБ 24 </c:v>
                </c:pt>
                <c:pt idx="6">
                  <c:v> "Банк Москвы"</c:v>
                </c:pt>
                <c:pt idx="7">
                  <c:v> "РоялКредитБанк"</c:v>
                </c:pt>
                <c:pt idx="8">
                  <c:v> "Россельхозбанк"</c:v>
                </c:pt>
                <c:pt idx="9">
                  <c:v> "Солид-Банк"</c:v>
                </c:pt>
                <c:pt idx="10">
                  <c:v> "Банк Интеза"</c:v>
                </c:pt>
                <c:pt idx="11">
                  <c:v> "Примсоцбанк"</c:v>
                </c:pt>
                <c:pt idx="12">
                  <c:v>"Азиатско-Тихоокеанский Банк"</c:v>
                </c:pt>
                <c:pt idx="13">
                  <c:v> "Промсвязьбанк"</c:v>
                </c:pt>
                <c:pt idx="14">
                  <c:v>"УМ Банк"</c:v>
                </c:pt>
                <c:pt idx="15">
                  <c:v>"Транскапиталбанк"</c:v>
                </c:pt>
                <c:pt idx="16">
                  <c:v>"МСП Банк"</c:v>
                </c:pt>
                <c:pt idx="17">
                  <c:v>"ФПМП ХК"</c:v>
                </c:pt>
                <c:pt idx="18">
                  <c:v>"РОССИЙСКИЙ КАПИТАЛ"</c:v>
                </c:pt>
              </c:strCache>
            </c:strRef>
          </c:cat>
          <c:val>
            <c:numRef>
              <c:f>'[Диаграмма в Microsoft Word]Рис.5'!$C$3:$C$21</c:f>
            </c:numRef>
          </c:val>
          <c:shape val="box"/>
        </c:ser>
        <c:ser>
          <c:idx val="2"/>
          <c:order val="2"/>
          <c:invertIfNegative val="0"/>
          <c:dLbls>
            <c:dLbl>
              <c:idx val="0"/>
              <c:layout>
                <c:manualLayout>
                  <c:x val="5.6657215370730938E-3"/>
                  <c:y val="-2.2792020519598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108590765528203E-2"/>
                  <c:y val="-1.2662233621999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428692284551276E-3"/>
                  <c:y val="-1.2662233621999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623453864575221E-17"/>
                  <c:y val="-1.7727127070798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331443074146153E-2"/>
                  <c:y val="-1.2662233621999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519468034639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519468034639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6657215370730764E-3"/>
                  <c:y val="-1.012978689759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246907729150442E-17"/>
                  <c:y val="-1.012978689759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6657215370731458E-3"/>
                  <c:y val="-1.519468034639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331443074146153E-2"/>
                  <c:y val="-1.2662233621999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6657215370730764E-3"/>
                  <c:y val="-1.519468034639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1331443074146153E-2"/>
                  <c:y val="-1.2662233621999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699716461121923E-2"/>
                  <c:y val="-7.597340173199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1331443074146153E-2"/>
                  <c:y val="-1.012978689759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1331443074146153E-2"/>
                  <c:y val="-1.012978689759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1.5108590765528203E-2"/>
                  <c:y val="-1.519468034639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Word]Рис.5'!$A$3:$A$21</c:f>
              <c:strCache>
                <c:ptCount val="19"/>
                <c:pt idx="0">
                  <c:v> "МТС-Банк"</c:v>
                </c:pt>
                <c:pt idx="1">
                  <c:v> Банк  "ФК "Открытие"</c:v>
                </c:pt>
                <c:pt idx="2">
                  <c:v>"Дальневосточный банк"</c:v>
                </c:pt>
                <c:pt idx="3">
                  <c:v> "БИНБАНК"</c:v>
                </c:pt>
                <c:pt idx="4">
                  <c:v> "Сбербанк "</c:v>
                </c:pt>
                <c:pt idx="5">
                  <c:v>Банк ВТБ 24 </c:v>
                </c:pt>
                <c:pt idx="6">
                  <c:v> "Банк Москвы"</c:v>
                </c:pt>
                <c:pt idx="7">
                  <c:v> "РоялКредитБанк"</c:v>
                </c:pt>
                <c:pt idx="8">
                  <c:v> "Россельхозбанк"</c:v>
                </c:pt>
                <c:pt idx="9">
                  <c:v> "Солид-Банк"</c:v>
                </c:pt>
                <c:pt idx="10">
                  <c:v> "Банк Интеза"</c:v>
                </c:pt>
                <c:pt idx="11">
                  <c:v> "Примсоцбанк"</c:v>
                </c:pt>
                <c:pt idx="12">
                  <c:v>"Азиатско-Тихоокеанский Банк"</c:v>
                </c:pt>
                <c:pt idx="13">
                  <c:v> "Промсвязьбанк"</c:v>
                </c:pt>
                <c:pt idx="14">
                  <c:v>"УМ Банк"</c:v>
                </c:pt>
                <c:pt idx="15">
                  <c:v>"Транскапиталбанк"</c:v>
                </c:pt>
                <c:pt idx="16">
                  <c:v>"МСП Банк"</c:v>
                </c:pt>
                <c:pt idx="17">
                  <c:v>"ФПМП ХК"</c:v>
                </c:pt>
                <c:pt idx="18">
                  <c:v>"РОССИЙСКИЙ КАПИТАЛ"</c:v>
                </c:pt>
              </c:strCache>
            </c:strRef>
          </c:cat>
          <c:val>
            <c:numRef>
              <c:f>'[Диаграмма в Microsoft Word]Рис.5'!$D$3:$D$21</c:f>
              <c:numCache>
                <c:formatCode>#,##0</c:formatCode>
                <c:ptCount val="19"/>
                <c:pt idx="0">
                  <c:v>14149</c:v>
                </c:pt>
                <c:pt idx="1">
                  <c:v>10175</c:v>
                </c:pt>
                <c:pt idx="2">
                  <c:v>63151</c:v>
                </c:pt>
                <c:pt idx="3">
                  <c:v>2511</c:v>
                </c:pt>
                <c:pt idx="4">
                  <c:v>155089</c:v>
                </c:pt>
                <c:pt idx="5">
                  <c:v>183281</c:v>
                </c:pt>
                <c:pt idx="6">
                  <c:v>40895</c:v>
                </c:pt>
                <c:pt idx="7">
                  <c:v>688</c:v>
                </c:pt>
                <c:pt idx="8">
                  <c:v>41511</c:v>
                </c:pt>
                <c:pt idx="9">
                  <c:v>21462</c:v>
                </c:pt>
                <c:pt idx="10">
                  <c:v>40153</c:v>
                </c:pt>
                <c:pt idx="11">
                  <c:v>17078</c:v>
                </c:pt>
                <c:pt idx="12">
                  <c:v>7407</c:v>
                </c:pt>
                <c:pt idx="13">
                  <c:v>35300</c:v>
                </c:pt>
                <c:pt idx="14">
                  <c:v>3500</c:v>
                </c:pt>
                <c:pt idx="15">
                  <c:v>3000</c:v>
                </c:pt>
                <c:pt idx="16">
                  <c:v>15000</c:v>
                </c:pt>
                <c:pt idx="17">
                  <c:v>4610</c:v>
                </c:pt>
                <c:pt idx="18">
                  <c:v>22610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137263360"/>
        <c:axId val="137281536"/>
        <c:axId val="0"/>
      </c:bar3DChart>
      <c:catAx>
        <c:axId val="1372633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7281536"/>
        <c:crosses val="autoZero"/>
        <c:auto val="1"/>
        <c:lblAlgn val="ctr"/>
        <c:lblOffset val="100"/>
        <c:noMultiLvlLbl val="0"/>
      </c:catAx>
      <c:valAx>
        <c:axId val="13728153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37263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v>Сумма поручительств</c:v>
          </c:tx>
          <c:invertIfNegative val="0"/>
          <c:cat>
            <c:strRef>
              <c:f>'[Диаграмма в Microsoft Word]выплаты'!$A$3:$A$9</c:f>
              <c:strCache>
                <c:ptCount val="7"/>
                <c:pt idx="0">
                  <c:v> Россельхозбанк</c:v>
                </c:pt>
                <c:pt idx="1">
                  <c:v>СБЕРБАНК </c:v>
                </c:pt>
                <c:pt idx="2">
                  <c:v> МТС-БАНК</c:v>
                </c:pt>
                <c:pt idx="3">
                  <c:v> Банк ВТБ 24</c:v>
                </c:pt>
                <c:pt idx="4">
                  <c:v>АТБ</c:v>
                </c:pt>
                <c:pt idx="5">
                  <c:v>Дальневосточный банк</c:v>
                </c:pt>
                <c:pt idx="6">
                  <c:v>Открытие</c:v>
                </c:pt>
              </c:strCache>
            </c:strRef>
          </c:cat>
          <c:val>
            <c:numRef>
              <c:f>'[Диаграмма в Microsoft Word]выплаты'!$B$3:$B$9</c:f>
              <c:numCache>
                <c:formatCode>#,##0.0</c:formatCode>
                <c:ptCount val="7"/>
                <c:pt idx="0">
                  <c:v>172.9</c:v>
                </c:pt>
                <c:pt idx="1">
                  <c:v>412.8</c:v>
                </c:pt>
                <c:pt idx="2">
                  <c:v>152.30000000000001</c:v>
                </c:pt>
                <c:pt idx="3">
                  <c:v>561.29999999999995</c:v>
                </c:pt>
                <c:pt idx="4">
                  <c:v>60.9</c:v>
                </c:pt>
                <c:pt idx="5">
                  <c:v>116.7</c:v>
                </c:pt>
                <c:pt idx="6">
                  <c:v>65.7</c:v>
                </c:pt>
              </c:numCache>
            </c:numRef>
          </c:val>
        </c:ser>
        <c:ser>
          <c:idx val="2"/>
          <c:order val="1"/>
          <c:tx>
            <c:v>выплаты по требованиям</c:v>
          </c:tx>
          <c:invertIfNegative val="0"/>
          <c:cat>
            <c:strRef>
              <c:f>'[Диаграмма в Microsoft Word]выплаты'!$A$3:$A$9</c:f>
              <c:strCache>
                <c:ptCount val="7"/>
                <c:pt idx="0">
                  <c:v> Россельхозбанк</c:v>
                </c:pt>
                <c:pt idx="1">
                  <c:v>СБЕРБАНК </c:v>
                </c:pt>
                <c:pt idx="2">
                  <c:v> МТС-БАНК</c:v>
                </c:pt>
                <c:pt idx="3">
                  <c:v> Банк ВТБ 24</c:v>
                </c:pt>
                <c:pt idx="4">
                  <c:v>АТБ</c:v>
                </c:pt>
                <c:pt idx="5">
                  <c:v>Дальневосточный банк</c:v>
                </c:pt>
                <c:pt idx="6">
                  <c:v>Открытие</c:v>
                </c:pt>
              </c:strCache>
            </c:strRef>
          </c:cat>
          <c:val>
            <c:numRef>
              <c:f>'[Диаграмма в Microsoft Word]выплаты'!$C$3:$C$9</c:f>
              <c:numCache>
                <c:formatCode>#,##0.0</c:formatCode>
                <c:ptCount val="7"/>
                <c:pt idx="0">
                  <c:v>32.9</c:v>
                </c:pt>
                <c:pt idx="1">
                  <c:v>48.7</c:v>
                </c:pt>
                <c:pt idx="2">
                  <c:v>14.2</c:v>
                </c:pt>
                <c:pt idx="3">
                  <c:v>6.1</c:v>
                </c:pt>
                <c:pt idx="4">
                  <c:v>4.5999999999999996</c:v>
                </c:pt>
                <c:pt idx="5">
                  <c:v>3.9</c:v>
                </c:pt>
                <c:pt idx="6">
                  <c:v>5.2779999999999996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3167360"/>
        <c:axId val="153168896"/>
        <c:axId val="0"/>
      </c:bar3DChart>
      <c:catAx>
        <c:axId val="153167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168896"/>
        <c:crosses val="autoZero"/>
        <c:auto val="1"/>
        <c:lblAlgn val="ctr"/>
        <c:lblOffset val="100"/>
        <c:noMultiLvlLbl val="0"/>
      </c:catAx>
      <c:valAx>
        <c:axId val="153168896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1531673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45C-C4C1-40FF-A8D7-3ABB4FB8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18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99</cp:revision>
  <cp:lastPrinted>2018-04-24T00:58:00Z</cp:lastPrinted>
  <dcterms:created xsi:type="dcterms:W3CDTF">2017-10-05T04:45:00Z</dcterms:created>
  <dcterms:modified xsi:type="dcterms:W3CDTF">2018-04-28T02:13:00Z</dcterms:modified>
</cp:coreProperties>
</file>